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1F3D" w14:textId="77777777" w:rsidR="006177A2" w:rsidRPr="006177A2" w:rsidRDefault="006177A2" w:rsidP="00284F59">
      <w:pPr>
        <w:spacing w:after="0"/>
        <w:rPr>
          <w:b/>
          <w:bCs/>
        </w:rPr>
      </w:pPr>
      <w:r w:rsidRPr="006177A2">
        <w:rPr>
          <w:b/>
          <w:bCs/>
        </w:rPr>
        <w:t>1. Universal Approximation Theorem</w:t>
      </w:r>
    </w:p>
    <w:p w14:paraId="2DE0621E" w14:textId="77777777" w:rsidR="006177A2" w:rsidRPr="006177A2" w:rsidRDefault="006177A2" w:rsidP="00284F59">
      <w:pPr>
        <w:spacing w:after="0"/>
      </w:pPr>
      <w:r w:rsidRPr="006177A2">
        <w:rPr>
          <w:b/>
          <w:bCs/>
        </w:rPr>
        <w:t>(Cybenko, Hornik — Neural Networks)</w:t>
      </w:r>
    </w:p>
    <w:p w14:paraId="1420F596" w14:textId="77777777" w:rsidR="006177A2" w:rsidRPr="006177A2" w:rsidRDefault="006177A2" w:rsidP="00284F59">
      <w:pPr>
        <w:spacing w:after="0"/>
        <w:rPr>
          <w:b/>
          <w:bCs/>
        </w:rPr>
      </w:pPr>
      <w:r w:rsidRPr="006177A2">
        <w:rPr>
          <w:b/>
          <w:bCs/>
        </w:rPr>
        <w:t>Theorem (existing)</w:t>
      </w:r>
    </w:p>
    <w:p w14:paraId="4F7A496B" w14:textId="77777777" w:rsidR="006177A2" w:rsidRPr="006177A2" w:rsidRDefault="006177A2" w:rsidP="00284F59">
      <w:pPr>
        <w:spacing w:after="0"/>
      </w:pPr>
      <w:r w:rsidRPr="006177A2">
        <w:t>A feedforward neural network with a non-polynomial activation can approximate any continuous function on a compact set arbitrarily well.</w:t>
      </w:r>
    </w:p>
    <w:p w14:paraId="215F641E" w14:textId="77777777" w:rsidR="006177A2" w:rsidRPr="006177A2" w:rsidRDefault="006177A2" w:rsidP="00284F59">
      <w:pPr>
        <w:spacing w:after="0"/>
        <w:rPr>
          <w:b/>
          <w:bCs/>
        </w:rPr>
      </w:pPr>
      <w:r w:rsidRPr="006177A2">
        <w:rPr>
          <w:b/>
          <w:bCs/>
        </w:rPr>
        <w:t>Using your model</w:t>
      </w:r>
    </w:p>
    <w:p w14:paraId="639088FF" w14:textId="291B51BD" w:rsidR="006177A2" w:rsidRPr="006177A2" w:rsidRDefault="006177A2" w:rsidP="00284F59">
      <w:pPr>
        <w:numPr>
          <w:ilvl w:val="0"/>
          <w:numId w:val="1"/>
        </w:numPr>
        <w:spacing w:after="0"/>
      </w:pPr>
      <w:r w:rsidRPr="006177A2">
        <w:t xml:space="preserve">Your </w:t>
      </w:r>
      <w:r w:rsidRPr="006177A2">
        <w:rPr>
          <w:b/>
          <w:bCs/>
        </w:rPr>
        <w:t>MLP or Transformer FFN</w:t>
      </w:r>
      <w:r w:rsidRPr="006177A2">
        <w:t xml:space="preserve"> approximates IC50 with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≈0.98</m:t>
        </m:r>
      </m:oMath>
    </w:p>
    <w:p w14:paraId="3AE47E05" w14:textId="77777777" w:rsidR="006177A2" w:rsidRPr="006177A2" w:rsidRDefault="006177A2" w:rsidP="00284F59">
      <w:pPr>
        <w:numPr>
          <w:ilvl w:val="0"/>
          <w:numId w:val="1"/>
        </w:numPr>
        <w:spacing w:after="0"/>
      </w:pPr>
      <w:r w:rsidRPr="006177A2">
        <w:t>Empirical demonstration on a real biological function</w:t>
      </w:r>
    </w:p>
    <w:p w14:paraId="6AC3686B" w14:textId="77777777" w:rsidR="006177A2" w:rsidRPr="006177A2" w:rsidRDefault="006177A2" w:rsidP="00284F59">
      <w:pPr>
        <w:spacing w:after="0"/>
        <w:rPr>
          <w:b/>
          <w:bCs/>
        </w:rPr>
      </w:pPr>
      <w:r w:rsidRPr="006177A2">
        <w:rPr>
          <w:b/>
          <w:bCs/>
        </w:rPr>
        <w:t>Heuristic proof</w:t>
      </w:r>
    </w:p>
    <w:p w14:paraId="6589D292" w14:textId="77777777" w:rsidR="006177A2" w:rsidRPr="006177A2" w:rsidRDefault="006177A2" w:rsidP="00284F59">
      <w:pPr>
        <w:numPr>
          <w:ilvl w:val="0"/>
          <w:numId w:val="2"/>
        </w:numPr>
        <w:spacing w:after="0"/>
      </w:pPr>
      <w:r w:rsidRPr="006177A2">
        <w:t>IC50 varies smoothly with pharmacogenomic features</w:t>
      </w:r>
    </w:p>
    <w:p w14:paraId="736014FC" w14:textId="77777777" w:rsidR="006177A2" w:rsidRPr="006177A2" w:rsidRDefault="006177A2" w:rsidP="00284F59">
      <w:pPr>
        <w:numPr>
          <w:ilvl w:val="0"/>
          <w:numId w:val="2"/>
        </w:numPr>
        <w:spacing w:after="0"/>
      </w:pPr>
      <w:r w:rsidRPr="006177A2">
        <w:t>Hidden layers partition input space into fine regions</w:t>
      </w:r>
    </w:p>
    <w:p w14:paraId="4812019B" w14:textId="77777777" w:rsidR="006177A2" w:rsidRPr="006177A2" w:rsidRDefault="006177A2" w:rsidP="00284F59">
      <w:pPr>
        <w:spacing w:after="0"/>
        <w:rPr>
          <w:b/>
          <w:bCs/>
        </w:rPr>
      </w:pPr>
      <w:r w:rsidRPr="006177A2">
        <w:rPr>
          <w:b/>
          <w:bCs/>
        </w:rPr>
        <w:t>Mathematical derivation</w:t>
      </w:r>
    </w:p>
    <w:p w14:paraId="75D46D19" w14:textId="77777777" w:rsidR="006177A2" w:rsidRPr="006177A2" w:rsidRDefault="006177A2" w:rsidP="00284F59">
      <w:pPr>
        <w:numPr>
          <w:ilvl w:val="0"/>
          <w:numId w:val="3"/>
        </w:numPr>
        <w:spacing w:after="0"/>
      </w:pPr>
      <w:r w:rsidRPr="006177A2">
        <w:t>Approximation via finite sums of ridge functions</w:t>
      </w:r>
    </w:p>
    <w:p w14:paraId="716A5775" w14:textId="77777777" w:rsidR="006177A2" w:rsidRPr="006177A2" w:rsidRDefault="006177A2" w:rsidP="00284F59">
      <w:pPr>
        <w:numPr>
          <w:ilvl w:val="0"/>
          <w:numId w:val="3"/>
        </w:numPr>
        <w:spacing w:after="0"/>
      </w:pPr>
      <w:r w:rsidRPr="006177A2">
        <w:t>Stone–Weierstrass theorem</w:t>
      </w:r>
    </w:p>
    <w:p w14:paraId="17AA1B9E" w14:textId="64D4A9CE" w:rsidR="006177A2" w:rsidRPr="006177A2" w:rsidRDefault="006177A2" w:rsidP="00284F59">
      <w:pPr>
        <w:numPr>
          <w:ilvl w:val="0"/>
          <w:numId w:val="3"/>
        </w:numPr>
        <w:spacing w:after="0"/>
      </w:pPr>
      <w:r w:rsidRPr="006177A2">
        <w:t xml:space="preserve">Density of neural network function class in </w:t>
      </w:r>
      <m:oMath>
        <m:r>
          <w:rPr>
            <w:rFonts w:ascii="Cambria Math" w:hAnsi="Cambria Math"/>
          </w:rPr>
          <m:t>C(K)</m:t>
        </m:r>
      </m:oMath>
    </w:p>
    <w:p w14:paraId="73F23677" w14:textId="77777777" w:rsidR="006177A2" w:rsidRPr="006177A2" w:rsidRDefault="00000000" w:rsidP="00284F59">
      <w:pPr>
        <w:spacing w:after="0"/>
      </w:pPr>
      <w:r>
        <w:pict w14:anchorId="1F086243">
          <v:rect id="_x0000_i1025" style="width:0;height:1.5pt" o:hralign="center" o:hrstd="t" o:hr="t" fillcolor="#a0a0a0" stroked="f"/>
        </w:pict>
      </w:r>
    </w:p>
    <w:p w14:paraId="2E206AAB" w14:textId="77777777" w:rsidR="006177A2" w:rsidRPr="006177A2" w:rsidRDefault="006177A2" w:rsidP="00284F59">
      <w:pPr>
        <w:spacing w:after="0"/>
        <w:rPr>
          <w:b/>
          <w:bCs/>
        </w:rPr>
      </w:pPr>
      <w:r w:rsidRPr="006177A2">
        <w:rPr>
          <w:b/>
          <w:bCs/>
        </w:rPr>
        <w:t>2. Lipschitz Continuity of Composed Functions</w:t>
      </w:r>
    </w:p>
    <w:p w14:paraId="2CA8EA47" w14:textId="77777777" w:rsidR="006177A2" w:rsidRPr="006177A2" w:rsidRDefault="006177A2" w:rsidP="00284F59">
      <w:pPr>
        <w:spacing w:after="0"/>
      </w:pPr>
      <w:r w:rsidRPr="006177A2">
        <w:rPr>
          <w:b/>
          <w:bCs/>
        </w:rPr>
        <w:t>(Functional Analysis)</w:t>
      </w:r>
    </w:p>
    <w:p w14:paraId="67307C8F" w14:textId="77777777" w:rsidR="006177A2" w:rsidRPr="006177A2" w:rsidRDefault="006177A2" w:rsidP="00284F59">
      <w:pPr>
        <w:spacing w:after="0"/>
        <w:rPr>
          <w:b/>
          <w:bCs/>
        </w:rPr>
      </w:pPr>
      <w:r w:rsidRPr="006177A2">
        <w:rPr>
          <w:b/>
          <w:bCs/>
        </w:rPr>
        <w:t>Theorem</w:t>
      </w:r>
    </w:p>
    <w:p w14:paraId="4A2760D3" w14:textId="77777777" w:rsidR="006177A2" w:rsidRPr="006177A2" w:rsidRDefault="006177A2" w:rsidP="00284F59">
      <w:pPr>
        <w:spacing w:after="0"/>
      </w:pPr>
      <w:r w:rsidRPr="006177A2">
        <w:t>A finite composition of Lipschitz continuous functions is Lipschitz.</w:t>
      </w:r>
    </w:p>
    <w:p w14:paraId="63BA678D" w14:textId="77777777" w:rsidR="006177A2" w:rsidRPr="006177A2" w:rsidRDefault="006177A2" w:rsidP="00284F59">
      <w:pPr>
        <w:spacing w:after="0"/>
        <w:rPr>
          <w:b/>
          <w:bCs/>
        </w:rPr>
      </w:pPr>
      <w:r w:rsidRPr="006177A2">
        <w:rPr>
          <w:b/>
          <w:bCs/>
        </w:rPr>
        <w:t>Using your model</w:t>
      </w:r>
    </w:p>
    <w:p w14:paraId="01237174" w14:textId="77777777" w:rsidR="006177A2" w:rsidRPr="006177A2" w:rsidRDefault="006177A2" w:rsidP="00284F59">
      <w:pPr>
        <w:numPr>
          <w:ilvl w:val="0"/>
          <w:numId w:val="4"/>
        </w:numPr>
        <w:spacing w:after="0"/>
      </w:pPr>
      <w:r w:rsidRPr="006177A2">
        <w:t>Each layer of Transformer / BiLSTM is Lipschitz</w:t>
      </w:r>
    </w:p>
    <w:p w14:paraId="47C431D4" w14:textId="77777777" w:rsidR="006177A2" w:rsidRPr="006177A2" w:rsidRDefault="006177A2" w:rsidP="00284F59">
      <w:pPr>
        <w:numPr>
          <w:ilvl w:val="0"/>
          <w:numId w:val="4"/>
        </w:numPr>
        <w:spacing w:after="0"/>
      </w:pPr>
      <w:r w:rsidRPr="006177A2">
        <w:t>Empirical robustness: small feature noise → bounded IC50 change</w:t>
      </w:r>
    </w:p>
    <w:p w14:paraId="4CB85ED1" w14:textId="77777777" w:rsidR="006177A2" w:rsidRPr="006177A2" w:rsidRDefault="006177A2" w:rsidP="00284F59">
      <w:pPr>
        <w:spacing w:after="0"/>
        <w:rPr>
          <w:b/>
          <w:bCs/>
        </w:rPr>
      </w:pPr>
      <w:r w:rsidRPr="006177A2">
        <w:rPr>
          <w:b/>
          <w:bCs/>
        </w:rPr>
        <w:t>Heuristic proof</w:t>
      </w:r>
    </w:p>
    <w:p w14:paraId="581A6432" w14:textId="77777777" w:rsidR="006177A2" w:rsidRPr="006177A2" w:rsidRDefault="006177A2" w:rsidP="00284F59">
      <w:pPr>
        <w:numPr>
          <w:ilvl w:val="0"/>
          <w:numId w:val="5"/>
        </w:numPr>
        <w:spacing w:after="0"/>
      </w:pPr>
      <w:r w:rsidRPr="006177A2">
        <w:t>Biological systems are noise-tolerant</w:t>
      </w:r>
    </w:p>
    <w:p w14:paraId="0782BE11" w14:textId="77777777" w:rsidR="006177A2" w:rsidRPr="006177A2" w:rsidRDefault="006177A2" w:rsidP="00284F59">
      <w:pPr>
        <w:numPr>
          <w:ilvl w:val="0"/>
          <w:numId w:val="5"/>
        </w:numPr>
        <w:spacing w:after="0"/>
      </w:pPr>
      <w:r w:rsidRPr="006177A2">
        <w:t>Networks trained with MSE suppress sharp gradients</w:t>
      </w:r>
    </w:p>
    <w:p w14:paraId="3DC234DE" w14:textId="77777777" w:rsidR="006177A2" w:rsidRPr="006177A2" w:rsidRDefault="006177A2" w:rsidP="00284F59">
      <w:pPr>
        <w:spacing w:after="0"/>
        <w:rPr>
          <w:b/>
          <w:bCs/>
        </w:rPr>
      </w:pPr>
      <w:r w:rsidRPr="006177A2">
        <w:rPr>
          <w:b/>
          <w:bCs/>
        </w:rPr>
        <w:t>Mathematical derivation</w:t>
      </w:r>
    </w:p>
    <w:p w14:paraId="5E73064F" w14:textId="6DD17DB4" w:rsidR="006177A2" w:rsidRPr="006177A2" w:rsidRDefault="006177A2" w:rsidP="00284F59">
      <w:pPr>
        <w:spacing w:after="0"/>
      </w:pPr>
      <w:r w:rsidRPr="006177A2">
        <w:t xml:space="preserve">If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6177A2">
        <w:t xml:space="preserve">are Lipschitz with constants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6177A2">
        <w:t>,</w:t>
      </w:r>
    </w:p>
    <w:p w14:paraId="7DC5E07C" w14:textId="31697FC5" w:rsidR="006177A2" w:rsidRPr="006177A2" w:rsidRDefault="006177A2" w:rsidP="00284F59">
      <w:pPr>
        <w:spacing w:after="0"/>
      </w:pPr>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(y)</m:t>
          </m:r>
          <m:r>
            <m:rPr>
              <m:sty m:val="p"/>
            </m:rPr>
            <w:rPr>
              <w:rFonts w:ascii="Cambria Math" w:hAnsi="Cambria Math"/>
            </w:rPr>
            <m:t>∥</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L</m:t>
                  </m:r>
                </m:e>
                <m:sub>
                  <m:r>
                    <w:rPr>
                      <w:rFonts w:ascii="Cambria Math" w:hAnsi="Cambria Math"/>
                    </w:rPr>
                    <m:t>i</m:t>
                  </m:r>
                </m:sub>
              </m:sSub>
            </m:e>
          </m:nary>
          <m:r>
            <m:rPr>
              <m:sty m:val="p"/>
            </m:rPr>
            <w:rPr>
              <w:rFonts w:ascii="Cambria Math" w:hAnsi="Cambria Math"/>
            </w:rPr>
            <m:t>∥</m:t>
          </m:r>
          <m:r>
            <w:rPr>
              <w:rFonts w:ascii="Cambria Math" w:hAnsi="Cambria Math"/>
            </w:rPr>
            <m:t>x-y</m:t>
          </m:r>
          <m:r>
            <m:rPr>
              <m:sty m:val="p"/>
            </m:rPr>
            <w:rPr>
              <w:rFonts w:ascii="Cambria Math" w:hAnsi="Cambria Math"/>
            </w:rPr>
            <m:t>∥</m:t>
          </m:r>
          <m:r>
            <m:rPr>
              <m:sty m:val="p"/>
            </m:rPr>
            <w:br/>
          </m:r>
        </m:oMath>
      </m:oMathPara>
    </w:p>
    <w:p w14:paraId="2B41E272" w14:textId="77777777" w:rsidR="006177A2" w:rsidRPr="006177A2" w:rsidRDefault="00000000" w:rsidP="00284F59">
      <w:pPr>
        <w:spacing w:after="0"/>
      </w:pPr>
      <w:r>
        <w:pict w14:anchorId="1FAE5917">
          <v:rect id="_x0000_i1026" style="width:0;height:1.5pt" o:hralign="center" o:hrstd="t" o:hr="t" fillcolor="#a0a0a0" stroked="f"/>
        </w:pict>
      </w:r>
    </w:p>
    <w:p w14:paraId="1998EA63" w14:textId="77777777" w:rsidR="006177A2" w:rsidRPr="006177A2" w:rsidRDefault="006177A2" w:rsidP="00284F59">
      <w:pPr>
        <w:spacing w:after="0"/>
        <w:rPr>
          <w:b/>
          <w:bCs/>
        </w:rPr>
      </w:pPr>
      <w:r w:rsidRPr="006177A2">
        <w:rPr>
          <w:b/>
          <w:bCs/>
        </w:rPr>
        <w:t>3. Concentration of Measure (McDiarmid’s Inequality)</w:t>
      </w:r>
    </w:p>
    <w:p w14:paraId="1A648992" w14:textId="77777777" w:rsidR="006177A2" w:rsidRPr="006177A2" w:rsidRDefault="006177A2" w:rsidP="00284F59">
      <w:pPr>
        <w:spacing w:after="0"/>
      </w:pPr>
      <w:r w:rsidRPr="006177A2">
        <w:rPr>
          <w:b/>
          <w:bCs/>
        </w:rPr>
        <w:t>(Probability Theory)</w:t>
      </w:r>
    </w:p>
    <w:p w14:paraId="1DFE62F5" w14:textId="77777777" w:rsidR="006177A2" w:rsidRPr="006177A2" w:rsidRDefault="006177A2" w:rsidP="00284F59">
      <w:pPr>
        <w:spacing w:after="0"/>
        <w:rPr>
          <w:b/>
          <w:bCs/>
        </w:rPr>
      </w:pPr>
      <w:r w:rsidRPr="006177A2">
        <w:rPr>
          <w:b/>
          <w:bCs/>
        </w:rPr>
        <w:t>Theorem</w:t>
      </w:r>
    </w:p>
    <w:p w14:paraId="43271E54" w14:textId="77777777" w:rsidR="006177A2" w:rsidRPr="006177A2" w:rsidRDefault="006177A2" w:rsidP="00284F59">
      <w:pPr>
        <w:spacing w:after="0"/>
      </w:pPr>
      <w:r w:rsidRPr="006177A2">
        <w:t>Functions of many weakly dependent variables concentrate around their expectation.</w:t>
      </w:r>
    </w:p>
    <w:p w14:paraId="4EC367BD" w14:textId="77777777" w:rsidR="006177A2" w:rsidRPr="006177A2" w:rsidRDefault="006177A2" w:rsidP="00284F59">
      <w:pPr>
        <w:spacing w:after="0"/>
        <w:rPr>
          <w:b/>
          <w:bCs/>
        </w:rPr>
      </w:pPr>
      <w:r w:rsidRPr="006177A2">
        <w:rPr>
          <w:b/>
          <w:bCs/>
        </w:rPr>
        <w:t>Using your model</w:t>
      </w:r>
    </w:p>
    <w:p w14:paraId="396F94BA" w14:textId="77777777" w:rsidR="006177A2" w:rsidRPr="006177A2" w:rsidRDefault="006177A2" w:rsidP="00284F59">
      <w:pPr>
        <w:numPr>
          <w:ilvl w:val="0"/>
          <w:numId w:val="6"/>
        </w:numPr>
        <w:spacing w:after="0"/>
      </w:pPr>
      <w:r w:rsidRPr="006177A2">
        <w:t>Prediction variance across batches is low</w:t>
      </w:r>
    </w:p>
    <w:p w14:paraId="08A97FF6" w14:textId="77777777" w:rsidR="006177A2" w:rsidRPr="006177A2" w:rsidRDefault="006177A2" w:rsidP="00284F59">
      <w:pPr>
        <w:numPr>
          <w:ilvl w:val="0"/>
          <w:numId w:val="6"/>
        </w:numPr>
        <w:spacing w:after="0"/>
      </w:pPr>
      <w:r w:rsidRPr="006177A2">
        <w:t>IC50 predictions concentrate for similar feature profiles</w:t>
      </w:r>
    </w:p>
    <w:p w14:paraId="699EB26B" w14:textId="77777777" w:rsidR="006177A2" w:rsidRPr="006177A2" w:rsidRDefault="006177A2" w:rsidP="00284F59">
      <w:pPr>
        <w:spacing w:after="0"/>
        <w:rPr>
          <w:b/>
          <w:bCs/>
        </w:rPr>
      </w:pPr>
      <w:r w:rsidRPr="006177A2">
        <w:rPr>
          <w:b/>
          <w:bCs/>
        </w:rPr>
        <w:t>Heuristic proof</w:t>
      </w:r>
    </w:p>
    <w:p w14:paraId="082F999A" w14:textId="77777777" w:rsidR="006177A2" w:rsidRPr="006177A2" w:rsidRDefault="006177A2" w:rsidP="00284F59">
      <w:pPr>
        <w:numPr>
          <w:ilvl w:val="0"/>
          <w:numId w:val="7"/>
        </w:numPr>
        <w:spacing w:after="0"/>
      </w:pPr>
      <w:r w:rsidRPr="006177A2">
        <w:t>Many pharmacogenomic features contribute additively</w:t>
      </w:r>
    </w:p>
    <w:p w14:paraId="25245D8C" w14:textId="77777777" w:rsidR="006177A2" w:rsidRPr="006177A2" w:rsidRDefault="006177A2" w:rsidP="00284F59">
      <w:pPr>
        <w:numPr>
          <w:ilvl w:val="0"/>
          <w:numId w:val="7"/>
        </w:numPr>
        <w:spacing w:after="0"/>
      </w:pPr>
      <w:r w:rsidRPr="006177A2">
        <w:t>No single feature dominates completely</w:t>
      </w:r>
    </w:p>
    <w:p w14:paraId="7F258AF6" w14:textId="77777777" w:rsidR="006177A2" w:rsidRPr="006177A2" w:rsidRDefault="006177A2" w:rsidP="00284F59">
      <w:pPr>
        <w:spacing w:after="0"/>
        <w:rPr>
          <w:b/>
          <w:bCs/>
        </w:rPr>
      </w:pPr>
      <w:r w:rsidRPr="006177A2">
        <w:rPr>
          <w:b/>
          <w:bCs/>
        </w:rPr>
        <w:t>Mathematical derivation</w:t>
      </w:r>
    </w:p>
    <w:p w14:paraId="5E510E07" w14:textId="77777777" w:rsidR="006177A2" w:rsidRPr="006177A2" w:rsidRDefault="006177A2" w:rsidP="00284F59">
      <w:pPr>
        <w:spacing w:after="0"/>
      </w:pPr>
      <w:r w:rsidRPr="006177A2">
        <w:t>Apply McDiarmid’s inequality to:</w:t>
      </w:r>
    </w:p>
    <w:p w14:paraId="66941CC0" w14:textId="7828F013" w:rsidR="006177A2" w:rsidRPr="006177A2" w:rsidRDefault="006177A2" w:rsidP="00284F59">
      <w:pPr>
        <w:spacing w:after="0"/>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nor/>
            </m:rPr>
            <m:t>model</m:t>
          </m:r>
          <m:r>
            <w:rPr>
              <w:rFonts w:ascii="Cambria Math" w:hAnsi="Cambria Math"/>
            </w:rPr>
            <m:t>(x)</m:t>
          </m:r>
          <m:r>
            <w:br/>
          </m:r>
        </m:oMath>
      </m:oMathPara>
    </w:p>
    <w:p w14:paraId="5B1FD567" w14:textId="77777777" w:rsidR="006177A2" w:rsidRPr="006177A2" w:rsidRDefault="00000000" w:rsidP="00284F59">
      <w:pPr>
        <w:spacing w:after="0"/>
      </w:pPr>
      <w:r>
        <w:pict w14:anchorId="7E9C9C65">
          <v:rect id="_x0000_i1027" style="width:0;height:1.5pt" o:hralign="center" o:hrstd="t" o:hr="t" fillcolor="#a0a0a0" stroked="f"/>
        </w:pict>
      </w:r>
    </w:p>
    <w:p w14:paraId="6F4AC095" w14:textId="77777777" w:rsidR="006177A2" w:rsidRPr="006177A2" w:rsidRDefault="006177A2" w:rsidP="00284F59">
      <w:pPr>
        <w:spacing w:after="0"/>
        <w:rPr>
          <w:b/>
          <w:bCs/>
        </w:rPr>
      </w:pPr>
      <w:r w:rsidRPr="006177A2">
        <w:rPr>
          <w:b/>
          <w:bCs/>
        </w:rPr>
        <w:t>4. Stability of Empirical Risk Minimization</w:t>
      </w:r>
    </w:p>
    <w:p w14:paraId="21CB111D" w14:textId="77777777" w:rsidR="006177A2" w:rsidRPr="006177A2" w:rsidRDefault="006177A2" w:rsidP="00284F59">
      <w:pPr>
        <w:spacing w:after="0"/>
      </w:pPr>
      <w:r w:rsidRPr="006177A2">
        <w:rPr>
          <w:b/>
          <w:bCs/>
        </w:rPr>
        <w:lastRenderedPageBreak/>
        <w:t>(Statistical Learning Theory — Bousquet &amp; Elisseeff)</w:t>
      </w:r>
    </w:p>
    <w:p w14:paraId="065C381E" w14:textId="77777777" w:rsidR="006177A2" w:rsidRPr="006177A2" w:rsidRDefault="006177A2" w:rsidP="00284F59">
      <w:pPr>
        <w:spacing w:after="0"/>
        <w:rPr>
          <w:b/>
          <w:bCs/>
        </w:rPr>
      </w:pPr>
      <w:r w:rsidRPr="006177A2">
        <w:rPr>
          <w:b/>
          <w:bCs/>
        </w:rPr>
        <w:t>Theorem</w:t>
      </w:r>
    </w:p>
    <w:p w14:paraId="1AE17B51" w14:textId="77777777" w:rsidR="006177A2" w:rsidRPr="006177A2" w:rsidRDefault="006177A2" w:rsidP="00284F59">
      <w:pPr>
        <w:spacing w:after="0"/>
      </w:pPr>
      <w:r w:rsidRPr="006177A2">
        <w:t>Uniformly stable algorithms generalize well.</w:t>
      </w:r>
    </w:p>
    <w:p w14:paraId="5744908A" w14:textId="77777777" w:rsidR="006177A2" w:rsidRPr="006177A2" w:rsidRDefault="006177A2" w:rsidP="00284F59">
      <w:pPr>
        <w:spacing w:after="0"/>
        <w:rPr>
          <w:b/>
          <w:bCs/>
        </w:rPr>
      </w:pPr>
      <w:r w:rsidRPr="006177A2">
        <w:rPr>
          <w:b/>
          <w:bCs/>
        </w:rPr>
        <w:t>Using your model</w:t>
      </w:r>
    </w:p>
    <w:p w14:paraId="7C69EE39" w14:textId="77777777" w:rsidR="006177A2" w:rsidRPr="006177A2" w:rsidRDefault="006177A2" w:rsidP="00284F59">
      <w:pPr>
        <w:numPr>
          <w:ilvl w:val="0"/>
          <w:numId w:val="8"/>
        </w:numPr>
        <w:spacing w:after="0"/>
      </w:pPr>
      <w:r w:rsidRPr="006177A2">
        <w:t>Low train–validation gap</w:t>
      </w:r>
    </w:p>
    <w:p w14:paraId="06E4F6B9" w14:textId="77777777" w:rsidR="006177A2" w:rsidRPr="006177A2" w:rsidRDefault="006177A2" w:rsidP="00284F59">
      <w:pPr>
        <w:numPr>
          <w:ilvl w:val="0"/>
          <w:numId w:val="8"/>
        </w:numPr>
        <w:spacing w:after="0"/>
      </w:pPr>
      <w:r w:rsidRPr="006177A2">
        <w:t>Stable predictions under subsampling</w:t>
      </w:r>
    </w:p>
    <w:p w14:paraId="18D9CDFB" w14:textId="77777777" w:rsidR="006177A2" w:rsidRPr="006177A2" w:rsidRDefault="006177A2" w:rsidP="00284F59">
      <w:pPr>
        <w:spacing w:after="0"/>
        <w:rPr>
          <w:b/>
          <w:bCs/>
        </w:rPr>
      </w:pPr>
      <w:r w:rsidRPr="006177A2">
        <w:rPr>
          <w:b/>
          <w:bCs/>
        </w:rPr>
        <w:t>Heuristic proof</w:t>
      </w:r>
    </w:p>
    <w:p w14:paraId="76BFE78D" w14:textId="77777777" w:rsidR="006177A2" w:rsidRPr="006177A2" w:rsidRDefault="006177A2" w:rsidP="00284F59">
      <w:pPr>
        <w:numPr>
          <w:ilvl w:val="0"/>
          <w:numId w:val="9"/>
        </w:numPr>
        <w:spacing w:after="0"/>
      </w:pPr>
      <w:r w:rsidRPr="006177A2">
        <w:t>MSE loss + regularization → smooth minima</w:t>
      </w:r>
    </w:p>
    <w:p w14:paraId="3B231677" w14:textId="77777777" w:rsidR="006177A2" w:rsidRPr="006177A2" w:rsidRDefault="006177A2" w:rsidP="00284F59">
      <w:pPr>
        <w:numPr>
          <w:ilvl w:val="0"/>
          <w:numId w:val="9"/>
        </w:numPr>
        <w:spacing w:after="0"/>
      </w:pPr>
      <w:r w:rsidRPr="006177A2">
        <w:t>Large dataset (440k samples)</w:t>
      </w:r>
    </w:p>
    <w:p w14:paraId="4C21B204" w14:textId="77777777" w:rsidR="006177A2" w:rsidRPr="006177A2" w:rsidRDefault="006177A2" w:rsidP="00284F59">
      <w:pPr>
        <w:spacing w:after="0"/>
        <w:rPr>
          <w:b/>
          <w:bCs/>
        </w:rPr>
      </w:pPr>
      <w:r w:rsidRPr="006177A2">
        <w:rPr>
          <w:b/>
          <w:bCs/>
        </w:rPr>
        <w:t>Mathematical derivation</w:t>
      </w:r>
    </w:p>
    <w:p w14:paraId="43B714AD" w14:textId="77777777" w:rsidR="006177A2" w:rsidRPr="006177A2" w:rsidRDefault="006177A2" w:rsidP="00284F59">
      <w:pPr>
        <w:spacing w:after="0"/>
      </w:pPr>
      <w:r w:rsidRPr="006177A2">
        <w:t>Bound generalization error using stability coefficient:</w:t>
      </w:r>
    </w:p>
    <w:p w14:paraId="61A106CA" w14:textId="33A58FBE" w:rsidR="006177A2" w:rsidRPr="006177A2" w:rsidRDefault="006177A2" w:rsidP="00284F59">
      <w:pPr>
        <w:spacing w:after="0"/>
      </w:pPr>
      <m:oMathPara>
        <m:oMath>
          <m:r>
            <m:rPr>
              <m:scr m:val="double-struck"/>
              <m:sty m:val="p"/>
            </m:rPr>
            <w:rPr>
              <w:rFonts w:ascii="Cambria Math" w:hAnsi="Cambria Math"/>
            </w:rPr>
            <m:t>E</m:t>
          </m:r>
          <m:r>
            <w:rPr>
              <w:rFonts w:ascii="Cambria Math" w:hAnsi="Cambria Math"/>
            </w:rPr>
            <m:t>[R(f)-</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(f)]≤β</m:t>
          </m:r>
          <m:r>
            <w:br/>
          </m:r>
        </m:oMath>
      </m:oMathPara>
    </w:p>
    <w:p w14:paraId="798E5A55" w14:textId="77777777" w:rsidR="006177A2" w:rsidRPr="006177A2" w:rsidRDefault="00000000" w:rsidP="00284F59">
      <w:pPr>
        <w:spacing w:after="0"/>
      </w:pPr>
      <w:r>
        <w:pict w14:anchorId="5928D51D">
          <v:rect id="_x0000_i1028" style="width:0;height:1.5pt" o:hralign="center" o:hrstd="t" o:hr="t" fillcolor="#a0a0a0" stroked="f"/>
        </w:pict>
      </w:r>
    </w:p>
    <w:p w14:paraId="652C5EBF" w14:textId="77777777" w:rsidR="006177A2" w:rsidRPr="006177A2" w:rsidRDefault="006177A2" w:rsidP="00284F59">
      <w:pPr>
        <w:spacing w:after="0"/>
        <w:rPr>
          <w:b/>
          <w:bCs/>
        </w:rPr>
      </w:pPr>
      <w:r w:rsidRPr="006177A2">
        <w:rPr>
          <w:b/>
          <w:bCs/>
        </w:rPr>
        <w:t>5. Piecewise Linearity of ReLU Networks</w:t>
      </w:r>
    </w:p>
    <w:p w14:paraId="723BA691" w14:textId="77777777" w:rsidR="006177A2" w:rsidRPr="006177A2" w:rsidRDefault="006177A2" w:rsidP="00284F59">
      <w:pPr>
        <w:spacing w:after="0"/>
      </w:pPr>
      <w:r w:rsidRPr="006177A2">
        <w:rPr>
          <w:b/>
          <w:bCs/>
        </w:rPr>
        <w:t>(Neural Network Geometry)</w:t>
      </w:r>
    </w:p>
    <w:p w14:paraId="7571F911" w14:textId="77777777" w:rsidR="006177A2" w:rsidRPr="006177A2" w:rsidRDefault="006177A2" w:rsidP="00284F59">
      <w:pPr>
        <w:spacing w:after="0"/>
        <w:rPr>
          <w:b/>
          <w:bCs/>
        </w:rPr>
      </w:pPr>
      <w:r w:rsidRPr="006177A2">
        <w:rPr>
          <w:b/>
          <w:bCs/>
        </w:rPr>
        <w:t>Theorem</w:t>
      </w:r>
    </w:p>
    <w:p w14:paraId="306CECB3" w14:textId="77777777" w:rsidR="006177A2" w:rsidRPr="006177A2" w:rsidRDefault="006177A2" w:rsidP="00284F59">
      <w:pPr>
        <w:spacing w:after="0"/>
      </w:pPr>
      <w:r w:rsidRPr="006177A2">
        <w:t>A ReLU network defines a piecewise linear function.</w:t>
      </w:r>
    </w:p>
    <w:p w14:paraId="5DC15BAD" w14:textId="77777777" w:rsidR="006177A2" w:rsidRPr="006177A2" w:rsidRDefault="006177A2" w:rsidP="00284F59">
      <w:pPr>
        <w:spacing w:after="0"/>
        <w:rPr>
          <w:b/>
          <w:bCs/>
        </w:rPr>
      </w:pPr>
      <w:r w:rsidRPr="006177A2">
        <w:rPr>
          <w:b/>
          <w:bCs/>
        </w:rPr>
        <w:t>Using your model</w:t>
      </w:r>
    </w:p>
    <w:p w14:paraId="5DE6F515" w14:textId="77777777" w:rsidR="006177A2" w:rsidRPr="006177A2" w:rsidRDefault="006177A2" w:rsidP="00284F59">
      <w:pPr>
        <w:numPr>
          <w:ilvl w:val="0"/>
          <w:numId w:val="10"/>
        </w:numPr>
        <w:spacing w:after="0"/>
      </w:pPr>
      <w:r w:rsidRPr="006177A2">
        <w:t>Transformer FFN / MLP use ReLU or GELU (piecewise smooth)</w:t>
      </w:r>
    </w:p>
    <w:p w14:paraId="0054FC6D" w14:textId="77777777" w:rsidR="006177A2" w:rsidRPr="006177A2" w:rsidRDefault="006177A2" w:rsidP="00284F59">
      <w:pPr>
        <w:numPr>
          <w:ilvl w:val="0"/>
          <w:numId w:val="10"/>
        </w:numPr>
        <w:spacing w:after="0"/>
      </w:pPr>
      <w:r w:rsidRPr="006177A2">
        <w:t>Linear behavior observed in local IC50 regimes</w:t>
      </w:r>
    </w:p>
    <w:p w14:paraId="57649440" w14:textId="77777777" w:rsidR="006177A2" w:rsidRPr="006177A2" w:rsidRDefault="006177A2" w:rsidP="00284F59">
      <w:pPr>
        <w:spacing w:after="0"/>
        <w:rPr>
          <w:b/>
          <w:bCs/>
        </w:rPr>
      </w:pPr>
      <w:r w:rsidRPr="006177A2">
        <w:rPr>
          <w:b/>
          <w:bCs/>
        </w:rPr>
        <w:t>Heuristic proof</w:t>
      </w:r>
    </w:p>
    <w:p w14:paraId="48982CFF" w14:textId="77777777" w:rsidR="006177A2" w:rsidRPr="006177A2" w:rsidRDefault="006177A2" w:rsidP="00284F59">
      <w:pPr>
        <w:numPr>
          <w:ilvl w:val="0"/>
          <w:numId w:val="11"/>
        </w:numPr>
        <w:spacing w:after="0"/>
      </w:pPr>
      <w:r w:rsidRPr="006177A2">
        <w:t>Different biological regimes correspond to linear regions</w:t>
      </w:r>
    </w:p>
    <w:p w14:paraId="11032162" w14:textId="77777777" w:rsidR="006177A2" w:rsidRPr="006177A2" w:rsidRDefault="006177A2" w:rsidP="00284F59">
      <w:pPr>
        <w:spacing w:after="0"/>
        <w:rPr>
          <w:b/>
          <w:bCs/>
        </w:rPr>
      </w:pPr>
      <w:r w:rsidRPr="006177A2">
        <w:rPr>
          <w:b/>
          <w:bCs/>
        </w:rPr>
        <w:t>Mathematical derivation</w:t>
      </w:r>
    </w:p>
    <w:p w14:paraId="402471E9" w14:textId="77777777" w:rsidR="006177A2" w:rsidRPr="006177A2" w:rsidRDefault="006177A2" w:rsidP="00284F59">
      <w:pPr>
        <w:spacing w:after="0"/>
      </w:pPr>
      <w:r w:rsidRPr="006177A2">
        <w:t>Activation patterns define polyhedral partitions:</w:t>
      </w:r>
    </w:p>
    <w:p w14:paraId="5132D228" w14:textId="2C4BA2F9" w:rsidR="006177A2" w:rsidRPr="006177A2" w:rsidRDefault="00000000" w:rsidP="00284F59">
      <w:pPr>
        <w:spacing w:after="0"/>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br/>
          </m:r>
        </m:oMath>
      </m:oMathPara>
    </w:p>
    <w:p w14:paraId="25B5328F" w14:textId="77777777" w:rsidR="006177A2" w:rsidRPr="006177A2" w:rsidRDefault="00000000" w:rsidP="00284F59">
      <w:pPr>
        <w:spacing w:after="0"/>
      </w:pPr>
      <w:r>
        <w:pict w14:anchorId="0E848E48">
          <v:rect id="_x0000_i1029" style="width:0;height:1.5pt" o:hralign="center" o:hrstd="t" o:hr="t" fillcolor="#a0a0a0" stroked="f"/>
        </w:pict>
      </w:r>
    </w:p>
    <w:p w14:paraId="33614C40" w14:textId="77777777" w:rsidR="006177A2" w:rsidRPr="006177A2" w:rsidRDefault="006177A2" w:rsidP="00284F59">
      <w:pPr>
        <w:spacing w:after="0"/>
        <w:rPr>
          <w:b/>
          <w:bCs/>
        </w:rPr>
      </w:pPr>
      <w:r w:rsidRPr="006177A2">
        <w:rPr>
          <w:b/>
          <w:bCs/>
        </w:rPr>
        <w:t>6. Jensen’s Inequality</w:t>
      </w:r>
    </w:p>
    <w:p w14:paraId="36B704D9" w14:textId="77777777" w:rsidR="006177A2" w:rsidRPr="006177A2" w:rsidRDefault="006177A2" w:rsidP="00284F59">
      <w:pPr>
        <w:spacing w:after="0"/>
      </w:pPr>
      <w:r w:rsidRPr="006177A2">
        <w:rPr>
          <w:b/>
          <w:bCs/>
        </w:rPr>
        <w:t>(Convex Analysis)</w:t>
      </w:r>
    </w:p>
    <w:p w14:paraId="2641CB41" w14:textId="77777777" w:rsidR="006177A2" w:rsidRPr="006177A2" w:rsidRDefault="006177A2" w:rsidP="00284F59">
      <w:pPr>
        <w:spacing w:after="0"/>
        <w:rPr>
          <w:b/>
          <w:bCs/>
        </w:rPr>
      </w:pPr>
      <w:r w:rsidRPr="006177A2">
        <w:rPr>
          <w:b/>
          <w:bCs/>
        </w:rPr>
        <w:t>Theorem</w:t>
      </w:r>
    </w:p>
    <w:p w14:paraId="451F4EF6" w14:textId="67F48706" w:rsidR="006177A2" w:rsidRPr="006177A2" w:rsidRDefault="006177A2" w:rsidP="00284F59">
      <w:pPr>
        <w:spacing w:after="0"/>
      </w:pPr>
      <w:r w:rsidRPr="006177A2">
        <w:t xml:space="preserve">For a convex function </w:t>
      </w:r>
      <m:oMath>
        <m:r>
          <w:rPr>
            <w:rFonts w:ascii="Cambria Math" w:hAnsi="Cambria Math"/>
          </w:rPr>
          <m:t>ϕ</m:t>
        </m:r>
      </m:oMath>
      <w:r w:rsidRPr="006177A2">
        <w:t>,</w:t>
      </w:r>
    </w:p>
    <w:p w14:paraId="5D24FEBE" w14:textId="32A0A8A2" w:rsidR="006177A2" w:rsidRPr="006177A2" w:rsidRDefault="006177A2" w:rsidP="00284F59">
      <w:pPr>
        <w:spacing w:after="0"/>
      </w:pPr>
      <m:oMathPara>
        <m:oMath>
          <m:r>
            <w:rPr>
              <w:rFonts w:ascii="Cambria Math" w:hAnsi="Cambria Math"/>
            </w:rPr>
            <m:t>ϕ(</m:t>
          </m:r>
          <m:r>
            <m:rPr>
              <m:scr m:val="double-struck"/>
              <m:sty m:val="p"/>
            </m:rPr>
            <w:rPr>
              <w:rFonts w:ascii="Cambria Math" w:hAnsi="Cambria Math"/>
            </w:rPr>
            <m:t>E</m:t>
          </m:r>
          <m:r>
            <w:rPr>
              <w:rFonts w:ascii="Cambria Math" w:hAnsi="Cambria Math"/>
            </w:rPr>
            <m:t>[X])≤</m:t>
          </m:r>
          <m:r>
            <m:rPr>
              <m:scr m:val="double-struck"/>
              <m:sty m:val="p"/>
            </m:rPr>
            <w:rPr>
              <w:rFonts w:ascii="Cambria Math" w:hAnsi="Cambria Math"/>
            </w:rPr>
            <m:t>E</m:t>
          </m:r>
          <m:r>
            <w:rPr>
              <w:rFonts w:ascii="Cambria Math" w:hAnsi="Cambria Math"/>
            </w:rPr>
            <m:t>[ϕ(X)]</m:t>
          </m:r>
          <m:r>
            <w:br/>
          </m:r>
        </m:oMath>
      </m:oMathPara>
    </w:p>
    <w:p w14:paraId="6F4DB4E2" w14:textId="77777777" w:rsidR="006177A2" w:rsidRPr="006177A2" w:rsidRDefault="006177A2" w:rsidP="00284F59">
      <w:pPr>
        <w:spacing w:after="0"/>
        <w:rPr>
          <w:b/>
          <w:bCs/>
        </w:rPr>
      </w:pPr>
      <w:r w:rsidRPr="006177A2">
        <w:rPr>
          <w:b/>
          <w:bCs/>
        </w:rPr>
        <w:t>Using your model</w:t>
      </w:r>
    </w:p>
    <w:p w14:paraId="13213798" w14:textId="77777777" w:rsidR="006177A2" w:rsidRPr="006177A2" w:rsidRDefault="006177A2" w:rsidP="00284F59">
      <w:pPr>
        <w:numPr>
          <w:ilvl w:val="0"/>
          <w:numId w:val="12"/>
        </w:numPr>
        <w:spacing w:after="0"/>
      </w:pPr>
      <w:r w:rsidRPr="006177A2">
        <w:t>Attention pooling computes convex combinations</w:t>
      </w:r>
    </w:p>
    <w:p w14:paraId="7C5E6E7F" w14:textId="77777777" w:rsidR="006177A2" w:rsidRPr="006177A2" w:rsidRDefault="006177A2" w:rsidP="00284F59">
      <w:pPr>
        <w:numPr>
          <w:ilvl w:val="0"/>
          <w:numId w:val="12"/>
        </w:numPr>
        <w:spacing w:after="0"/>
      </w:pPr>
      <w:r w:rsidRPr="006177A2">
        <w:t>Prediction equals expectation under learned weights</w:t>
      </w:r>
    </w:p>
    <w:p w14:paraId="4DC20BC0" w14:textId="77777777" w:rsidR="006177A2" w:rsidRPr="006177A2" w:rsidRDefault="006177A2" w:rsidP="00284F59">
      <w:pPr>
        <w:spacing w:after="0"/>
        <w:rPr>
          <w:b/>
          <w:bCs/>
        </w:rPr>
      </w:pPr>
      <w:r w:rsidRPr="006177A2">
        <w:rPr>
          <w:b/>
          <w:bCs/>
        </w:rPr>
        <w:t>Heuristic proof</w:t>
      </w:r>
    </w:p>
    <w:p w14:paraId="2849AA48" w14:textId="77777777" w:rsidR="006177A2" w:rsidRPr="006177A2" w:rsidRDefault="006177A2" w:rsidP="00284F59">
      <w:pPr>
        <w:numPr>
          <w:ilvl w:val="0"/>
          <w:numId w:val="13"/>
        </w:numPr>
        <w:spacing w:after="0"/>
      </w:pPr>
      <w:r w:rsidRPr="006177A2">
        <w:t>Attention redistributes importance without amplification</w:t>
      </w:r>
    </w:p>
    <w:p w14:paraId="2D16445B" w14:textId="77777777" w:rsidR="006177A2" w:rsidRPr="006177A2" w:rsidRDefault="006177A2" w:rsidP="00284F59">
      <w:pPr>
        <w:spacing w:after="0"/>
        <w:rPr>
          <w:b/>
          <w:bCs/>
        </w:rPr>
      </w:pPr>
      <w:r w:rsidRPr="006177A2">
        <w:rPr>
          <w:b/>
          <w:bCs/>
        </w:rPr>
        <w:t>Mathematical derivation</w:t>
      </w:r>
    </w:p>
    <w:p w14:paraId="4A491360" w14:textId="77777777" w:rsidR="006177A2" w:rsidRPr="006177A2" w:rsidRDefault="006177A2" w:rsidP="00284F59">
      <w:pPr>
        <w:spacing w:after="0"/>
      </w:pPr>
      <w:r w:rsidRPr="006177A2">
        <w:t>Softmax weights form a probability simplex → Jensen applies</w:t>
      </w:r>
    </w:p>
    <w:p w14:paraId="70792C2E" w14:textId="77777777" w:rsidR="006177A2" w:rsidRPr="006177A2" w:rsidRDefault="00000000" w:rsidP="00284F59">
      <w:pPr>
        <w:spacing w:after="0"/>
      </w:pPr>
      <w:r>
        <w:pict w14:anchorId="0E532458">
          <v:rect id="_x0000_i1030" style="width:0;height:1.5pt" o:hralign="center" o:hrstd="t" o:hr="t" fillcolor="#a0a0a0" stroked="f"/>
        </w:pict>
      </w:r>
    </w:p>
    <w:p w14:paraId="73A0C689" w14:textId="77777777" w:rsidR="006177A2" w:rsidRPr="006177A2" w:rsidRDefault="006177A2" w:rsidP="00284F59">
      <w:pPr>
        <w:spacing w:after="0"/>
        <w:rPr>
          <w:b/>
          <w:bCs/>
        </w:rPr>
      </w:pPr>
      <w:r w:rsidRPr="006177A2">
        <w:rPr>
          <w:b/>
          <w:bCs/>
        </w:rPr>
        <w:t>7. Law of Large Numbers (LLN)</w:t>
      </w:r>
    </w:p>
    <w:p w14:paraId="79ED7046" w14:textId="77777777" w:rsidR="006177A2" w:rsidRPr="006177A2" w:rsidRDefault="006177A2" w:rsidP="00284F59">
      <w:pPr>
        <w:spacing w:after="0"/>
      </w:pPr>
      <w:r w:rsidRPr="006177A2">
        <w:rPr>
          <w:b/>
          <w:bCs/>
        </w:rPr>
        <w:t>(Probability Theory)</w:t>
      </w:r>
    </w:p>
    <w:p w14:paraId="24F92D09" w14:textId="77777777" w:rsidR="006177A2" w:rsidRPr="006177A2" w:rsidRDefault="006177A2" w:rsidP="00284F59">
      <w:pPr>
        <w:spacing w:after="0"/>
        <w:rPr>
          <w:b/>
          <w:bCs/>
        </w:rPr>
      </w:pPr>
      <w:r w:rsidRPr="006177A2">
        <w:rPr>
          <w:b/>
          <w:bCs/>
        </w:rPr>
        <w:t>Theorem</w:t>
      </w:r>
    </w:p>
    <w:p w14:paraId="064172A3" w14:textId="77777777" w:rsidR="006177A2" w:rsidRPr="006177A2" w:rsidRDefault="006177A2" w:rsidP="00284F59">
      <w:pPr>
        <w:spacing w:after="0"/>
      </w:pPr>
      <w:r w:rsidRPr="006177A2">
        <w:t>Sample averages converge to expectations as sample size increases.</w:t>
      </w:r>
    </w:p>
    <w:p w14:paraId="17D78BD1" w14:textId="77777777" w:rsidR="006177A2" w:rsidRPr="006177A2" w:rsidRDefault="006177A2" w:rsidP="00284F59">
      <w:pPr>
        <w:spacing w:after="0"/>
        <w:rPr>
          <w:b/>
          <w:bCs/>
        </w:rPr>
      </w:pPr>
      <w:r w:rsidRPr="006177A2">
        <w:rPr>
          <w:b/>
          <w:bCs/>
        </w:rPr>
        <w:t>Using your model</w:t>
      </w:r>
    </w:p>
    <w:p w14:paraId="431B9808" w14:textId="77777777" w:rsidR="006177A2" w:rsidRPr="006177A2" w:rsidRDefault="006177A2" w:rsidP="00284F59">
      <w:pPr>
        <w:numPr>
          <w:ilvl w:val="0"/>
          <w:numId w:val="14"/>
        </w:numPr>
        <w:spacing w:after="0"/>
      </w:pPr>
      <w:r w:rsidRPr="006177A2">
        <w:lastRenderedPageBreak/>
        <w:t>Batch predictions stabilize as batch size increases</w:t>
      </w:r>
    </w:p>
    <w:p w14:paraId="14A45336" w14:textId="77777777" w:rsidR="006177A2" w:rsidRPr="006177A2" w:rsidRDefault="006177A2" w:rsidP="00284F59">
      <w:pPr>
        <w:numPr>
          <w:ilvl w:val="0"/>
          <w:numId w:val="14"/>
        </w:numPr>
        <w:spacing w:after="0"/>
      </w:pPr>
      <w:r w:rsidRPr="006177A2">
        <w:t>Mean IC50 converges</w:t>
      </w:r>
    </w:p>
    <w:p w14:paraId="7F18EC18" w14:textId="77777777" w:rsidR="006177A2" w:rsidRPr="006177A2" w:rsidRDefault="006177A2" w:rsidP="00284F59">
      <w:pPr>
        <w:spacing w:after="0"/>
        <w:rPr>
          <w:b/>
          <w:bCs/>
        </w:rPr>
      </w:pPr>
      <w:r w:rsidRPr="006177A2">
        <w:rPr>
          <w:b/>
          <w:bCs/>
        </w:rPr>
        <w:t>Heuristic proof</w:t>
      </w:r>
    </w:p>
    <w:p w14:paraId="7A265EBC" w14:textId="77777777" w:rsidR="006177A2" w:rsidRPr="006177A2" w:rsidRDefault="006177A2" w:rsidP="00284F59">
      <w:pPr>
        <w:numPr>
          <w:ilvl w:val="0"/>
          <w:numId w:val="15"/>
        </w:numPr>
        <w:spacing w:after="0"/>
      </w:pPr>
      <w:r w:rsidRPr="006177A2">
        <w:t>Large dataset averages out biological noise</w:t>
      </w:r>
    </w:p>
    <w:p w14:paraId="2D0D429E" w14:textId="77777777" w:rsidR="006177A2" w:rsidRPr="006177A2" w:rsidRDefault="006177A2" w:rsidP="00284F59">
      <w:pPr>
        <w:spacing w:after="0"/>
        <w:rPr>
          <w:b/>
          <w:bCs/>
        </w:rPr>
      </w:pPr>
      <w:r w:rsidRPr="006177A2">
        <w:rPr>
          <w:b/>
          <w:bCs/>
        </w:rPr>
        <w:t>Mathematical derivation</w:t>
      </w:r>
    </w:p>
    <w:p w14:paraId="70C165A9" w14:textId="77777777" w:rsidR="006177A2" w:rsidRPr="006177A2" w:rsidRDefault="006177A2" w:rsidP="00284F59">
      <w:pPr>
        <w:spacing w:after="0"/>
      </w:pPr>
      <w:r w:rsidRPr="006177A2">
        <w:t>Apply LLN to model outputs:</w:t>
      </w:r>
    </w:p>
    <w:p w14:paraId="4666026D" w14:textId="664EDA43" w:rsidR="006177A2" w:rsidRPr="006177A2" w:rsidRDefault="00000000" w:rsidP="00284F59">
      <w:pPr>
        <w:spacing w:after="0"/>
      </w:pPr>
      <m:oMathPara>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cr m:val="double-struck"/>
              <m:sty m:val="p"/>
            </m:rPr>
            <w:rPr>
              <w:rFonts w:ascii="Cambria Math" w:hAnsi="Cambria Math"/>
            </w:rPr>
            <m:t>E</m:t>
          </m:r>
          <m:r>
            <w:rPr>
              <w:rFonts w:ascii="Cambria Math" w:hAnsi="Cambria Math"/>
            </w:rPr>
            <m:t>[f(X)]</m:t>
          </m:r>
          <m:r>
            <w:br/>
          </m:r>
        </m:oMath>
      </m:oMathPara>
    </w:p>
    <w:p w14:paraId="5277D727" w14:textId="77777777" w:rsidR="006177A2" w:rsidRPr="006177A2" w:rsidRDefault="00000000" w:rsidP="00284F59">
      <w:pPr>
        <w:spacing w:after="0"/>
      </w:pPr>
      <w:r>
        <w:pict w14:anchorId="26A602B0">
          <v:rect id="_x0000_i1031" style="width:0;height:1.5pt" o:hralign="center" o:hrstd="t" o:hr="t" fillcolor="#a0a0a0" stroked="f"/>
        </w:pict>
      </w:r>
    </w:p>
    <w:p w14:paraId="5A85DEEA" w14:textId="77777777" w:rsidR="006177A2" w:rsidRPr="006177A2" w:rsidRDefault="006177A2" w:rsidP="00284F59">
      <w:pPr>
        <w:spacing w:after="0"/>
        <w:rPr>
          <w:b/>
          <w:bCs/>
        </w:rPr>
      </w:pPr>
      <w:r w:rsidRPr="006177A2">
        <w:rPr>
          <w:b/>
          <w:bCs/>
        </w:rPr>
        <w:t>8. Bias–Variance Decomposition</w:t>
      </w:r>
    </w:p>
    <w:p w14:paraId="5CC5987D" w14:textId="77777777" w:rsidR="006177A2" w:rsidRPr="006177A2" w:rsidRDefault="006177A2" w:rsidP="00284F59">
      <w:pPr>
        <w:spacing w:after="0"/>
      </w:pPr>
      <w:r w:rsidRPr="006177A2">
        <w:rPr>
          <w:b/>
          <w:bCs/>
        </w:rPr>
        <w:t>(Statistical Learning)</w:t>
      </w:r>
    </w:p>
    <w:p w14:paraId="2377D951" w14:textId="77777777" w:rsidR="006177A2" w:rsidRPr="006177A2" w:rsidRDefault="006177A2" w:rsidP="00284F59">
      <w:pPr>
        <w:spacing w:after="0"/>
        <w:rPr>
          <w:b/>
          <w:bCs/>
        </w:rPr>
      </w:pPr>
      <w:r w:rsidRPr="006177A2">
        <w:rPr>
          <w:b/>
          <w:bCs/>
        </w:rPr>
        <w:t>Theorem</w:t>
      </w:r>
    </w:p>
    <w:p w14:paraId="47D8AD1A" w14:textId="77777777" w:rsidR="006177A2" w:rsidRPr="006177A2" w:rsidRDefault="006177A2" w:rsidP="00284F59">
      <w:pPr>
        <w:spacing w:after="0"/>
      </w:pPr>
      <w:r w:rsidRPr="006177A2">
        <w:t>Expected prediction error decomposes into bias, variance, and noise.</w:t>
      </w:r>
    </w:p>
    <w:p w14:paraId="5E758C85" w14:textId="77777777" w:rsidR="006177A2" w:rsidRPr="006177A2" w:rsidRDefault="006177A2" w:rsidP="00284F59">
      <w:pPr>
        <w:spacing w:after="0"/>
        <w:rPr>
          <w:b/>
          <w:bCs/>
        </w:rPr>
      </w:pPr>
      <w:r w:rsidRPr="006177A2">
        <w:rPr>
          <w:b/>
          <w:bCs/>
        </w:rPr>
        <w:t>Using your model</w:t>
      </w:r>
    </w:p>
    <w:p w14:paraId="5E9CAE7E" w14:textId="77777777" w:rsidR="006177A2" w:rsidRPr="006177A2" w:rsidRDefault="006177A2" w:rsidP="00284F59">
      <w:pPr>
        <w:numPr>
          <w:ilvl w:val="0"/>
          <w:numId w:val="16"/>
        </w:numPr>
        <w:spacing w:after="0"/>
      </w:pPr>
      <w:r w:rsidRPr="006177A2">
        <w:t>Transformer+BiLSTM reduces variance vs. MLP</w:t>
      </w:r>
    </w:p>
    <w:p w14:paraId="3BDF125B" w14:textId="77777777" w:rsidR="006177A2" w:rsidRPr="006177A2" w:rsidRDefault="006177A2" w:rsidP="00284F59">
      <w:pPr>
        <w:numPr>
          <w:ilvl w:val="0"/>
          <w:numId w:val="16"/>
        </w:numPr>
        <w:spacing w:after="0"/>
      </w:pPr>
      <w:r w:rsidRPr="006177A2">
        <w:t>Ensemble agreement reduces error</w:t>
      </w:r>
    </w:p>
    <w:p w14:paraId="77D00D30" w14:textId="77777777" w:rsidR="006177A2" w:rsidRPr="006177A2" w:rsidRDefault="006177A2" w:rsidP="00284F59">
      <w:pPr>
        <w:spacing w:after="0"/>
        <w:rPr>
          <w:b/>
          <w:bCs/>
        </w:rPr>
      </w:pPr>
      <w:r w:rsidRPr="006177A2">
        <w:rPr>
          <w:b/>
          <w:bCs/>
        </w:rPr>
        <w:t>Heuristic proof</w:t>
      </w:r>
    </w:p>
    <w:p w14:paraId="0396EC5E" w14:textId="77777777" w:rsidR="006177A2" w:rsidRPr="006177A2" w:rsidRDefault="006177A2" w:rsidP="00284F59">
      <w:pPr>
        <w:numPr>
          <w:ilvl w:val="0"/>
          <w:numId w:val="17"/>
        </w:numPr>
        <w:spacing w:after="0"/>
      </w:pPr>
      <w:r w:rsidRPr="006177A2">
        <w:t>Hybrid architectures balance bias and variance</w:t>
      </w:r>
    </w:p>
    <w:p w14:paraId="4FF6846D" w14:textId="77777777" w:rsidR="006177A2" w:rsidRPr="006177A2" w:rsidRDefault="006177A2" w:rsidP="00284F59">
      <w:pPr>
        <w:spacing w:after="0"/>
        <w:rPr>
          <w:b/>
          <w:bCs/>
        </w:rPr>
      </w:pPr>
      <w:r w:rsidRPr="006177A2">
        <w:rPr>
          <w:b/>
          <w:bCs/>
        </w:rPr>
        <w:t>Mathematical derivation</w:t>
      </w:r>
    </w:p>
    <w:p w14:paraId="3F431EDE" w14:textId="0F399864" w:rsidR="006177A2" w:rsidRPr="006177A2" w:rsidRDefault="006177A2" w:rsidP="00284F59">
      <w:pPr>
        <w:spacing w:after="0"/>
      </w:pPr>
      <m:oMathPara>
        <m:oMath>
          <m:r>
            <m:rPr>
              <m:scr m:val="double-struck"/>
              <m:sty m:val="p"/>
            </m:rPr>
            <w:rPr>
              <w:rFonts w:ascii="Cambria Math" w:hAnsi="Cambria Math"/>
            </w:rPr>
            <m:t>E</m:t>
          </m:r>
          <m:r>
            <w:rPr>
              <w:rFonts w:ascii="Cambria Math" w:hAnsi="Cambria Math"/>
            </w:rPr>
            <m:t>[(y-</m:t>
          </m:r>
          <m:acc>
            <m:accPr>
              <m:ctrlPr>
                <w:rPr>
                  <w:rFonts w:ascii="Cambria Math" w:hAnsi="Cambria Math"/>
                </w:rPr>
              </m:ctrlPr>
            </m:accPr>
            <m:e>
              <m:r>
                <w:rPr>
                  <w:rFonts w:ascii="Cambria Math" w:hAnsi="Cambria Math"/>
                </w:rPr>
                <m:t>f</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nor/>
                </m:rPr>
                <m:t>Bias</m:t>
              </m:r>
            </m:e>
            <m:sup>
              <m:r>
                <w:rPr>
                  <w:rFonts w:ascii="Cambria Math" w:hAnsi="Cambria Math"/>
                </w:rPr>
                <m:t>2</m:t>
              </m:r>
            </m:sup>
          </m:sSup>
          <m:r>
            <w:rPr>
              <w:rFonts w:ascii="Cambria Math" w:hAnsi="Cambria Math"/>
            </w:rPr>
            <m:t>+</m:t>
          </m:r>
          <m:r>
            <m:rPr>
              <m:nor/>
            </m:rPr>
            <m:t>Var</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br/>
          </m:r>
        </m:oMath>
      </m:oMathPara>
    </w:p>
    <w:p w14:paraId="0D03F940" w14:textId="77777777" w:rsidR="006177A2" w:rsidRPr="006177A2" w:rsidRDefault="00000000" w:rsidP="00284F59">
      <w:pPr>
        <w:spacing w:after="0"/>
      </w:pPr>
      <w:r>
        <w:pict w14:anchorId="49C1CEB0">
          <v:rect id="_x0000_i1032" style="width:0;height:1.5pt" o:hralign="center" o:hrstd="t" o:hr="t" fillcolor="#a0a0a0" stroked="f"/>
        </w:pict>
      </w:r>
    </w:p>
    <w:p w14:paraId="6C7DD47A" w14:textId="77777777" w:rsidR="006177A2" w:rsidRPr="006177A2" w:rsidRDefault="006177A2" w:rsidP="00284F59">
      <w:pPr>
        <w:spacing w:after="0"/>
        <w:rPr>
          <w:b/>
          <w:bCs/>
        </w:rPr>
      </w:pPr>
      <w:r w:rsidRPr="006177A2">
        <w:rPr>
          <w:b/>
          <w:bCs/>
        </w:rPr>
        <w:t>9. Fixed Point Theorem (Banach Contraction Principle)</w:t>
      </w:r>
    </w:p>
    <w:p w14:paraId="324D506C" w14:textId="77777777" w:rsidR="006177A2" w:rsidRPr="006177A2" w:rsidRDefault="006177A2" w:rsidP="00284F59">
      <w:pPr>
        <w:spacing w:after="0"/>
      </w:pPr>
      <w:r w:rsidRPr="006177A2">
        <w:rPr>
          <w:b/>
          <w:bCs/>
        </w:rPr>
        <w:t>(Analysis)</w:t>
      </w:r>
    </w:p>
    <w:p w14:paraId="5B12FBB3" w14:textId="77777777" w:rsidR="006177A2" w:rsidRPr="006177A2" w:rsidRDefault="006177A2" w:rsidP="00284F59">
      <w:pPr>
        <w:spacing w:after="0"/>
        <w:rPr>
          <w:b/>
          <w:bCs/>
        </w:rPr>
      </w:pPr>
      <w:r w:rsidRPr="006177A2">
        <w:rPr>
          <w:b/>
          <w:bCs/>
        </w:rPr>
        <w:t>Theorem</w:t>
      </w:r>
    </w:p>
    <w:p w14:paraId="024EF246" w14:textId="77777777" w:rsidR="006177A2" w:rsidRPr="006177A2" w:rsidRDefault="006177A2" w:rsidP="00284F59">
      <w:pPr>
        <w:spacing w:after="0"/>
      </w:pPr>
      <w:r w:rsidRPr="006177A2">
        <w:t>A contraction mapping has a unique fixed point.</w:t>
      </w:r>
    </w:p>
    <w:p w14:paraId="29B11EA7" w14:textId="77777777" w:rsidR="006177A2" w:rsidRPr="006177A2" w:rsidRDefault="006177A2" w:rsidP="00284F59">
      <w:pPr>
        <w:spacing w:after="0"/>
        <w:rPr>
          <w:b/>
          <w:bCs/>
        </w:rPr>
      </w:pPr>
      <w:r w:rsidRPr="006177A2">
        <w:rPr>
          <w:b/>
          <w:bCs/>
        </w:rPr>
        <w:t>Using your model</w:t>
      </w:r>
    </w:p>
    <w:p w14:paraId="0AF1C17E" w14:textId="77777777" w:rsidR="006177A2" w:rsidRPr="006177A2" w:rsidRDefault="006177A2" w:rsidP="00284F59">
      <w:pPr>
        <w:numPr>
          <w:ilvl w:val="0"/>
          <w:numId w:val="18"/>
        </w:numPr>
        <w:spacing w:after="0"/>
      </w:pPr>
      <w:r w:rsidRPr="006177A2">
        <w:t>Different architectures converge to similar functions</w:t>
      </w:r>
    </w:p>
    <w:p w14:paraId="7798BA90" w14:textId="77777777" w:rsidR="006177A2" w:rsidRPr="006177A2" w:rsidRDefault="006177A2" w:rsidP="00284F59">
      <w:pPr>
        <w:numPr>
          <w:ilvl w:val="0"/>
          <w:numId w:val="18"/>
        </w:numPr>
        <w:spacing w:after="0"/>
      </w:pPr>
      <w:r w:rsidRPr="006177A2">
        <w:t>Indicates a unique functional attractor</w:t>
      </w:r>
    </w:p>
    <w:p w14:paraId="393A2491" w14:textId="77777777" w:rsidR="006177A2" w:rsidRPr="006177A2" w:rsidRDefault="006177A2" w:rsidP="00284F59">
      <w:pPr>
        <w:spacing w:after="0"/>
        <w:rPr>
          <w:b/>
          <w:bCs/>
        </w:rPr>
      </w:pPr>
      <w:r w:rsidRPr="006177A2">
        <w:rPr>
          <w:b/>
          <w:bCs/>
        </w:rPr>
        <w:t>Heuristic proof</w:t>
      </w:r>
    </w:p>
    <w:p w14:paraId="0699AB11" w14:textId="77777777" w:rsidR="006177A2" w:rsidRPr="006177A2" w:rsidRDefault="006177A2" w:rsidP="00284F59">
      <w:pPr>
        <w:numPr>
          <w:ilvl w:val="0"/>
          <w:numId w:val="19"/>
        </w:numPr>
        <w:spacing w:after="0"/>
      </w:pPr>
      <w:r w:rsidRPr="006177A2">
        <w:t>SGD acts as contraction in function space</w:t>
      </w:r>
    </w:p>
    <w:p w14:paraId="50445D3A" w14:textId="77777777" w:rsidR="006177A2" w:rsidRPr="006177A2" w:rsidRDefault="006177A2" w:rsidP="00284F59">
      <w:pPr>
        <w:spacing w:after="0"/>
        <w:rPr>
          <w:b/>
          <w:bCs/>
        </w:rPr>
      </w:pPr>
      <w:r w:rsidRPr="006177A2">
        <w:rPr>
          <w:b/>
          <w:bCs/>
        </w:rPr>
        <w:t>Mathematical derivation</w:t>
      </w:r>
    </w:p>
    <w:p w14:paraId="69B960CB" w14:textId="73C9A2CE" w:rsidR="006177A2" w:rsidRPr="006177A2" w:rsidRDefault="006177A2" w:rsidP="00284F59">
      <w:pPr>
        <w:spacing w:after="0"/>
      </w:pPr>
      <w:r w:rsidRPr="006177A2">
        <w:t xml:space="preserve">Show training operator </w:t>
      </w:r>
      <m:oMath>
        <m:r>
          <w:rPr>
            <w:rFonts w:ascii="Cambria Math" w:hAnsi="Cambria Math"/>
          </w:rPr>
          <m:t>T</m:t>
        </m:r>
      </m:oMath>
      <w:r w:rsidRPr="006177A2">
        <w:t>satisfies:</w:t>
      </w:r>
    </w:p>
    <w:p w14:paraId="07C34D13" w14:textId="38AF40C7" w:rsidR="006177A2" w:rsidRPr="006177A2" w:rsidRDefault="006177A2" w:rsidP="00284F59">
      <w:pPr>
        <w:spacing w:after="0"/>
      </w:pPr>
      <m:oMathPara>
        <m:oMath>
          <m:r>
            <m:rPr>
              <m:sty m:val="p"/>
            </m:rPr>
            <w:rPr>
              <w:rFonts w:ascii="Cambria Math" w:hAnsi="Cambria Math"/>
            </w:rPr>
            <m:t>∥</m:t>
          </m:r>
          <m:r>
            <w:rPr>
              <w:rFonts w:ascii="Cambria Math" w:hAnsi="Cambria Math"/>
            </w:rPr>
            <m:t>T(f)-T(g)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f-g</m:t>
          </m:r>
          <m:r>
            <m:rPr>
              <m:sty m:val="p"/>
            </m:rPr>
            <w:rPr>
              <w:rFonts w:ascii="Cambria Math" w:hAnsi="Cambria Math"/>
            </w:rPr>
            <m:t>∥</m:t>
          </m:r>
          <m:r>
            <w:rPr>
              <w:rFonts w:ascii="Cambria Math" w:hAnsi="Cambria Math"/>
            </w:rPr>
            <m:t>,c&lt;1</m:t>
          </m:r>
          <m:r>
            <w:br/>
          </m:r>
        </m:oMath>
      </m:oMathPara>
    </w:p>
    <w:p w14:paraId="6A709902" w14:textId="77777777" w:rsidR="006177A2" w:rsidRPr="006177A2" w:rsidRDefault="00000000" w:rsidP="00284F59">
      <w:pPr>
        <w:spacing w:after="0"/>
      </w:pPr>
      <w:r>
        <w:pict w14:anchorId="2B230AFC">
          <v:rect id="_x0000_i1033" style="width:0;height:1.5pt" o:hralign="center" o:hrstd="t" o:hr="t" fillcolor="#a0a0a0" stroked="f"/>
        </w:pict>
      </w:r>
    </w:p>
    <w:p w14:paraId="7CAACA06" w14:textId="77777777" w:rsidR="006177A2" w:rsidRPr="006177A2" w:rsidRDefault="006177A2" w:rsidP="00284F59">
      <w:pPr>
        <w:spacing w:after="0"/>
        <w:rPr>
          <w:b/>
          <w:bCs/>
        </w:rPr>
      </w:pPr>
      <w:r w:rsidRPr="006177A2">
        <w:rPr>
          <w:b/>
          <w:bCs/>
        </w:rPr>
        <w:t>10. Curse of Dimensionality Mitigation via Manifold Hypothesis</w:t>
      </w:r>
    </w:p>
    <w:p w14:paraId="3F154263" w14:textId="77777777" w:rsidR="006177A2" w:rsidRPr="006177A2" w:rsidRDefault="006177A2" w:rsidP="00284F59">
      <w:pPr>
        <w:spacing w:after="0"/>
      </w:pPr>
      <w:r w:rsidRPr="006177A2">
        <w:rPr>
          <w:b/>
          <w:bCs/>
        </w:rPr>
        <w:t>(Geometric Learning Theory)</w:t>
      </w:r>
    </w:p>
    <w:p w14:paraId="2DA0B3B2" w14:textId="77777777" w:rsidR="006177A2" w:rsidRPr="006177A2" w:rsidRDefault="006177A2" w:rsidP="00284F59">
      <w:pPr>
        <w:spacing w:after="0"/>
        <w:rPr>
          <w:b/>
          <w:bCs/>
        </w:rPr>
      </w:pPr>
      <w:r w:rsidRPr="006177A2">
        <w:rPr>
          <w:b/>
          <w:bCs/>
        </w:rPr>
        <w:t>Theorem</w:t>
      </w:r>
    </w:p>
    <w:p w14:paraId="091A8471" w14:textId="77777777" w:rsidR="006177A2" w:rsidRPr="006177A2" w:rsidRDefault="006177A2" w:rsidP="00284F59">
      <w:pPr>
        <w:spacing w:after="0"/>
      </w:pPr>
      <w:r w:rsidRPr="006177A2">
        <w:t>High-dimensional data often lies on a low-dimensional manifold.</w:t>
      </w:r>
    </w:p>
    <w:p w14:paraId="59578F2F" w14:textId="77777777" w:rsidR="006177A2" w:rsidRPr="006177A2" w:rsidRDefault="006177A2" w:rsidP="00284F59">
      <w:pPr>
        <w:spacing w:after="0"/>
        <w:rPr>
          <w:b/>
          <w:bCs/>
        </w:rPr>
      </w:pPr>
      <w:r w:rsidRPr="006177A2">
        <w:rPr>
          <w:b/>
          <w:bCs/>
        </w:rPr>
        <w:t>Using your model</w:t>
      </w:r>
    </w:p>
    <w:p w14:paraId="0F1CD764" w14:textId="77777777" w:rsidR="006177A2" w:rsidRPr="006177A2" w:rsidRDefault="006177A2" w:rsidP="00284F59">
      <w:pPr>
        <w:numPr>
          <w:ilvl w:val="0"/>
          <w:numId w:val="20"/>
        </w:numPr>
        <w:spacing w:after="0"/>
      </w:pPr>
      <w:r w:rsidRPr="006177A2">
        <w:t>Only ~20 features explain IC50 accurately</w:t>
      </w:r>
    </w:p>
    <w:p w14:paraId="607FDE95" w14:textId="77777777" w:rsidR="006177A2" w:rsidRPr="006177A2" w:rsidRDefault="006177A2" w:rsidP="00284F59">
      <w:pPr>
        <w:numPr>
          <w:ilvl w:val="0"/>
          <w:numId w:val="20"/>
        </w:numPr>
        <w:spacing w:after="0"/>
      </w:pPr>
      <w:r w:rsidRPr="006177A2">
        <w:t>High R² without overfitting</w:t>
      </w:r>
    </w:p>
    <w:p w14:paraId="248AF05E" w14:textId="77777777" w:rsidR="006177A2" w:rsidRPr="006177A2" w:rsidRDefault="006177A2" w:rsidP="00284F59">
      <w:pPr>
        <w:spacing w:after="0"/>
        <w:rPr>
          <w:b/>
          <w:bCs/>
        </w:rPr>
      </w:pPr>
      <w:r w:rsidRPr="006177A2">
        <w:rPr>
          <w:b/>
          <w:bCs/>
        </w:rPr>
        <w:t>Heuristic proof</w:t>
      </w:r>
    </w:p>
    <w:p w14:paraId="013411C1" w14:textId="77777777" w:rsidR="006177A2" w:rsidRPr="006177A2" w:rsidRDefault="006177A2" w:rsidP="00284F59">
      <w:pPr>
        <w:numPr>
          <w:ilvl w:val="0"/>
          <w:numId w:val="21"/>
        </w:numPr>
        <w:spacing w:after="0"/>
      </w:pPr>
      <w:r w:rsidRPr="006177A2">
        <w:t>Biological pathways constrain variability</w:t>
      </w:r>
    </w:p>
    <w:p w14:paraId="4599D727" w14:textId="77777777" w:rsidR="006177A2" w:rsidRPr="006177A2" w:rsidRDefault="006177A2" w:rsidP="00284F59">
      <w:pPr>
        <w:spacing w:after="0"/>
        <w:rPr>
          <w:b/>
          <w:bCs/>
        </w:rPr>
      </w:pPr>
      <w:r w:rsidRPr="006177A2">
        <w:rPr>
          <w:b/>
          <w:bCs/>
        </w:rPr>
        <w:t>Mathematical derivation</w:t>
      </w:r>
    </w:p>
    <w:p w14:paraId="54603B15" w14:textId="7FB5738F" w:rsidR="006177A2" w:rsidRDefault="006177A2" w:rsidP="00D667A9">
      <w:pPr>
        <w:spacing w:after="0"/>
      </w:pPr>
      <w:r w:rsidRPr="006177A2">
        <w:t>Use covering numbers / intrinsic dimension bounds</w:t>
      </w:r>
    </w:p>
    <w:p w14:paraId="2D6E323B" w14:textId="74F0770D" w:rsidR="009B259A" w:rsidRPr="00284F59" w:rsidRDefault="006177A2" w:rsidP="009B259A">
      <w:pPr>
        <w:rPr>
          <w:b/>
          <w:bCs/>
          <w:sz w:val="32"/>
          <w:szCs w:val="32"/>
        </w:rPr>
      </w:pPr>
      <w:r w:rsidRPr="00284F59">
        <w:rPr>
          <w:b/>
          <w:bCs/>
          <w:sz w:val="32"/>
          <w:szCs w:val="32"/>
        </w:rPr>
        <w:lastRenderedPageBreak/>
        <w:t>THEOREM 1 — UNIVERSAL APPROXIMATION THEOREM</w:t>
      </w:r>
    </w:p>
    <w:p w14:paraId="7789DD71" w14:textId="6D0149B7" w:rsidR="009B259A" w:rsidRPr="00EC36BD" w:rsidRDefault="009B259A" w:rsidP="009B259A">
      <w:r w:rsidRPr="00EC36BD">
        <w:rPr>
          <w:b/>
          <w:bCs/>
        </w:rPr>
        <w:t>Theorem (existing).</w:t>
      </w:r>
      <w:r w:rsidRPr="00EC36BD">
        <w:br/>
        <w:t xml:space="preserve">Let </w:t>
      </w:r>
      <m:oMath>
        <m:r>
          <m:rPr>
            <m:sty m:val="p"/>
          </m:rP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n</m:t>
            </m:r>
          </m:sup>
        </m:sSup>
      </m:oMath>
      <w:r w:rsidRPr="00EC36BD">
        <w:t xml:space="preserve">be a compact set and let </w:t>
      </w:r>
      <m:oMath>
        <m:r>
          <m:rPr>
            <m:sty m:val="p"/>
          </m:rPr>
          <w:rPr>
            <w:rFonts w:ascii="Cambria Math" w:hAnsi="Cambria Math"/>
          </w:rPr>
          <m:t>f:K→</m:t>
        </m:r>
        <m:r>
          <m:rPr>
            <m:scr m:val="double-struck"/>
            <m:sty m:val="p"/>
          </m:rPr>
          <w:rPr>
            <w:rFonts w:ascii="Cambria Math" w:hAnsi="Cambria Math"/>
          </w:rPr>
          <m:t>R</m:t>
        </m:r>
      </m:oMath>
      <w:r w:rsidRPr="00EC36BD">
        <w:t xml:space="preserve">be a continuous function. Let </w:t>
      </w:r>
      <m:oMath>
        <m:r>
          <m:rPr>
            <m:sty m:val="p"/>
          </m:rPr>
          <w:rPr>
            <w:rFonts w:ascii="Cambria Math" w:hAnsi="Cambria Math"/>
          </w:rPr>
          <m:t>σ:</m:t>
        </m:r>
        <m:r>
          <m:rPr>
            <m:scr m:val="double-struck"/>
            <m:sty m:val="p"/>
          </m:rPr>
          <w:rPr>
            <w:rFonts w:ascii="Cambria Math" w:hAnsi="Cambria Math"/>
          </w:rPr>
          <m:t>R→R</m:t>
        </m:r>
      </m:oMath>
      <w:r w:rsidRPr="00EC36BD">
        <w:t xml:space="preserve">be a non-polynomial, continuous activation function. Then for every </w:t>
      </w:r>
      <m:oMath>
        <m:r>
          <m:rPr>
            <m:sty m:val="p"/>
          </m:rPr>
          <w:rPr>
            <w:rFonts w:ascii="Cambria Math" w:hAnsi="Cambria Math"/>
          </w:rPr>
          <m:t>ε&gt;0</m:t>
        </m:r>
      </m:oMath>
      <w:r w:rsidRPr="00EC36BD">
        <w:t>, there exists a feedforward neural network of the form</w:t>
      </w:r>
    </w:p>
    <w:p w14:paraId="7F013A59" w14:textId="64E459B1" w:rsidR="009B259A" w:rsidRPr="00EC36BD" w:rsidRDefault="009B259A" w:rsidP="009B259A">
      <m:oMathPara>
        <m:oMath>
          <m:acc>
            <m:accPr>
              <m:ctrlPr>
                <w:rPr>
                  <w:rFonts w:ascii="Cambria Math" w:hAnsi="Cambria Math"/>
                </w:rPr>
              </m:ctrlPr>
            </m:accPr>
            <m:e>
              <m:r>
                <m:rPr>
                  <m:sty m:val="p"/>
                </m:rPr>
                <w:rPr>
                  <w:rFonts w:ascii="Cambria Math" w:hAnsi="Cambria Math"/>
                </w:rPr>
                <m:t>f</m:t>
              </m:r>
            </m:e>
          </m:acc>
          <m:r>
            <m:rPr>
              <m:sty m:val="p"/>
            </m:rPr>
            <w:rPr>
              <w:rFonts w:ascii="Cambria Math" w:hAnsi="Cambria Math"/>
            </w:rPr>
            <m:t>(x)=</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m</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nary>
          <m:r>
            <m:rPr>
              <m:sty m:val="p"/>
            </m:rPr>
            <w:rPr>
              <w:rFonts w:ascii="Cambria Math" w:hAnsi="Cambria Math"/>
            </w:rPr>
            <m:t>σ(</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x+</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r>
            <w:br/>
          </m:r>
        </m:oMath>
      </m:oMathPara>
    </w:p>
    <w:p w14:paraId="6D2863BD" w14:textId="77777777" w:rsidR="009B259A" w:rsidRPr="00EC36BD" w:rsidRDefault="009B259A" w:rsidP="009B259A">
      <w:r w:rsidRPr="00EC36BD">
        <w:t>such that</w:t>
      </w:r>
    </w:p>
    <w:p w14:paraId="418729CB" w14:textId="7A11E902" w:rsidR="009B259A" w:rsidRPr="00EC36BD" w:rsidRDefault="009B259A" w:rsidP="009B259A">
      <m:oMathPara>
        <m:oMath>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x∈K</m:t>
              </m:r>
            </m:lim>
          </m:limLow>
          <m:r>
            <m:rPr>
              <m:sty m:val="p"/>
            </m:rPr>
            <w:rPr>
              <w:rFonts w:ascii="Cambria Math" w:hAnsi="Cambria Math"/>
            </w:rPr>
            <m:t>∣f(x)-</m:t>
          </m:r>
          <m:acc>
            <m:accPr>
              <m:ctrlPr>
                <w:rPr>
                  <w:rFonts w:ascii="Cambria Math" w:hAnsi="Cambria Math"/>
                </w:rPr>
              </m:ctrlPr>
            </m:accPr>
            <m:e>
              <m:r>
                <m:rPr>
                  <m:sty m:val="p"/>
                </m:rPr>
                <w:rPr>
                  <w:rFonts w:ascii="Cambria Math" w:hAnsi="Cambria Math"/>
                </w:rPr>
                <m:t>f</m:t>
              </m:r>
            </m:e>
          </m:acc>
          <m:r>
            <m:rPr>
              <m:sty m:val="p"/>
            </m:rPr>
            <w:rPr>
              <w:rFonts w:ascii="Cambria Math" w:hAnsi="Cambria Math"/>
            </w:rPr>
            <m:t>(x)∣&lt;ε.</m:t>
          </m:r>
          <m:r>
            <w:br/>
          </m:r>
        </m:oMath>
      </m:oMathPara>
    </w:p>
    <w:p w14:paraId="795B2C61" w14:textId="34F3345F" w:rsidR="009B259A" w:rsidRPr="00EC36BD" w:rsidRDefault="009B259A" w:rsidP="009B259A">
      <w:r w:rsidRPr="00EC36BD">
        <w:t xml:space="preserve">Equivalently, the set of functions representable by feedforward neural networks with such activations is dense in </w:t>
      </w:r>
      <m:oMath>
        <m:r>
          <m:rPr>
            <m:sty m:val="p"/>
          </m:rPr>
          <w:rPr>
            <w:rFonts w:ascii="Cambria Math" w:hAnsi="Cambria Math"/>
          </w:rPr>
          <m:t>C(K)</m:t>
        </m:r>
      </m:oMath>
      <w:r w:rsidRPr="00EC36BD">
        <w:t xml:space="preserve">, the space of continuous functions on </w:t>
      </w:r>
      <m:oMath>
        <m:r>
          <m:rPr>
            <m:sty m:val="p"/>
          </m:rPr>
          <w:rPr>
            <w:rFonts w:ascii="Cambria Math" w:hAnsi="Cambria Math"/>
          </w:rPr>
          <m:t>K</m:t>
        </m:r>
      </m:oMath>
      <w:r w:rsidRPr="00EC36BD">
        <w:t>.</w:t>
      </w:r>
    </w:p>
    <w:p w14:paraId="39C28B10" w14:textId="23A5E787" w:rsidR="009B259A" w:rsidRPr="00EC36BD" w:rsidRDefault="009B259A" w:rsidP="009B259A">
      <w:r w:rsidRPr="00EC36BD">
        <w:rPr>
          <w:b/>
          <w:bCs/>
        </w:rPr>
        <w:t>Using your model.</w:t>
      </w:r>
      <w:r w:rsidRPr="00EC36BD">
        <w:br/>
        <w:t xml:space="preserve">Let </w:t>
      </w:r>
      <m:oMath>
        <m:r>
          <m:rPr>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20</m:t>
            </m:r>
          </m:sup>
        </m:sSup>
      </m:oMath>
      <w:r w:rsidRPr="00EC36BD">
        <w:t xml:space="preserve">denote the pharmacogenomic feature vector and let </w:t>
      </w:r>
      <m:oMath>
        <m:r>
          <m:rPr>
            <m:sty m:val="p"/>
          </m:rPr>
          <w:rPr>
            <w:rFonts w:ascii="Cambria Math" w:hAnsi="Cambria Math"/>
          </w:rPr>
          <m:t>y=f(x)</m:t>
        </m:r>
      </m:oMath>
      <w:r w:rsidRPr="00EC36BD">
        <w:t>denote the IC50 response. The trained neural predictors (Transformer, Transformer+BiLSTM, and Transformer+BiLSTM with Attention Pooling) define functions</w:t>
      </w:r>
    </w:p>
    <w:p w14:paraId="775DA82C" w14:textId="6214D33D" w:rsidR="009B259A" w:rsidRPr="00EC36BD" w:rsidRDefault="009B259A" w:rsidP="009B259A">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f</m:t>
                  </m:r>
                </m:e>
              </m:acc>
            </m:e>
            <m:sub>
              <m:r>
                <m:rPr>
                  <m:sty m:val="p"/>
                </m:rPr>
                <w:rPr>
                  <w:rFonts w:ascii="Cambria Math" w:hAnsi="Cambria Math"/>
                </w:rPr>
                <m:t>θ</m:t>
              </m:r>
            </m:sub>
          </m:sSub>
          <m:r>
            <m:rPr>
              <m:sty m:val="p"/>
            </m:rP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20</m:t>
              </m:r>
            </m:sup>
          </m:sSup>
          <m:r>
            <m:rPr>
              <m:scr m:val="double-struck"/>
              <m:sty m:val="p"/>
            </m:rPr>
            <w:rPr>
              <w:rFonts w:ascii="Cambria Math" w:hAnsi="Cambria Math"/>
            </w:rPr>
            <m:t>→R.</m:t>
          </m:r>
          <m:r>
            <w:br/>
          </m:r>
        </m:oMath>
      </m:oMathPara>
    </w:p>
    <w:p w14:paraId="5F098523" w14:textId="77777777" w:rsidR="009B259A" w:rsidRPr="00EC36BD" w:rsidRDefault="009B259A" w:rsidP="009B259A">
      <w:r w:rsidRPr="00EC36BD">
        <w:t>The empirically obtained coefficient of determination satisfies</w:t>
      </w:r>
    </w:p>
    <w:p w14:paraId="0B4571F3" w14:textId="72196D2A" w:rsidR="009B259A" w:rsidRPr="00EC36BD" w:rsidRDefault="009B259A" w:rsidP="009B259A">
      <m:oMathPara>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≈0.98</m:t>
          </m:r>
          <m:r>
            <w:br/>
          </m:r>
        </m:oMath>
      </m:oMathPara>
    </w:p>
    <w:p w14:paraId="02312FC7" w14:textId="77777777" w:rsidR="009B259A" w:rsidRPr="00EC36BD" w:rsidRDefault="009B259A" w:rsidP="009B259A">
      <w:r w:rsidRPr="00EC36BD">
        <w:t>for the best-performing model. This implies</w:t>
      </w:r>
    </w:p>
    <w:p w14:paraId="3402971F" w14:textId="01538A8A" w:rsidR="009B259A" w:rsidRPr="00EC36BD" w:rsidRDefault="009B259A" w:rsidP="009B259A">
      <m:oMathPara>
        <m:oMath>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(f(</m:t>
              </m:r>
            </m:e>
          </m:nary>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f</m:t>
                  </m:r>
                </m:e>
              </m:acc>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(f(</m:t>
              </m:r>
            </m:e>
          </m:nary>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ˉ"/>
              <m:ctrlPr>
                <w:rPr>
                  <w:rFonts w:ascii="Cambria Math" w:hAnsi="Cambria Math"/>
                </w:rPr>
              </m:ctrlPr>
            </m:accPr>
            <m:e>
              <m:r>
                <m:rPr>
                  <m:sty m:val="p"/>
                </m:rPr>
                <w:rPr>
                  <w:rFonts w:ascii="Cambria Math" w:hAnsi="Cambria Math"/>
                </w:rPr>
                <m:t>f</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br/>
          </m:r>
        </m:oMath>
      </m:oMathPara>
    </w:p>
    <w:p w14:paraId="626C5215" w14:textId="07F7FF0B" w:rsidR="009B259A" w:rsidRPr="00EC36BD" w:rsidRDefault="009B259A" w:rsidP="009B259A">
      <w:r w:rsidRPr="00EC36BD">
        <w:t xml:space="preserve">Hence, there exists a concrete neural network function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f</m:t>
                </m:r>
              </m:e>
            </m:acc>
          </m:e>
          <m:sub>
            <m:r>
              <m:rPr>
                <m:sty m:val="p"/>
              </m:rPr>
              <w:rPr>
                <w:rFonts w:ascii="Cambria Math" w:hAnsi="Cambria Math"/>
              </w:rPr>
              <m:t>θ</m:t>
            </m:r>
          </m:sub>
        </m:sSub>
      </m:oMath>
      <w:r w:rsidRPr="00EC36BD">
        <w:t>such that</w:t>
      </w:r>
    </w:p>
    <w:p w14:paraId="7095EDF5" w14:textId="52AA185A" w:rsidR="009B259A" w:rsidRPr="00EC36BD" w:rsidRDefault="00EC36BD" w:rsidP="009B259A">
      <m:oMathPara>
        <m:oMath>
          <m:r>
            <m:rPr>
              <m:sty m:val="p"/>
            </m:rPr>
            <w:rPr>
              <w:rFonts w:ascii="Cambria Math" w:hAnsi="Cambria Math"/>
            </w:rPr>
            <m:t>∥f-</m:t>
          </m:r>
          <m:sSub>
            <m:sSubPr>
              <m:ctrlPr>
                <w:rPr>
                  <w:rFonts w:ascii="Cambria Math" w:hAnsi="Cambria Math"/>
                </w:rPr>
              </m:ctrlPr>
            </m:sSubPr>
            <m:e>
              <m:acc>
                <m:accPr>
                  <m:ctrlPr>
                    <w:rPr>
                      <w:rFonts w:ascii="Cambria Math" w:hAnsi="Cambria Math"/>
                    </w:rPr>
                  </m:ctrlPr>
                </m:accPr>
                <m:e>
                  <m:r>
                    <m:rPr>
                      <m:sty m:val="p"/>
                    </m:rPr>
                    <w:rPr>
                      <w:rFonts w:ascii="Cambria Math" w:hAnsi="Cambria Math"/>
                    </w:rPr>
                    <m:t>f</m:t>
                  </m:r>
                </m:e>
              </m:acc>
            </m:e>
            <m:sub>
              <m:r>
                <m:rPr>
                  <m:sty m:val="p"/>
                </m:rPr>
                <w:rPr>
                  <w:rFonts w:ascii="Cambria Math" w:hAnsi="Cambria Math"/>
                </w:rPr>
                <m:t>θ</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m:rPr>
                      <m:sty m:val="p"/>
                    </m:rPr>
                    <w:rPr>
                      <w:rFonts w:ascii="Cambria Math" w:hAnsi="Cambria Math"/>
                    </w:rPr>
                    <m:t>L</m:t>
                  </m:r>
                </m:e>
                <m:sup>
                  <m:r>
                    <m:rPr>
                      <m:sty m:val="p"/>
                    </m:rPr>
                    <w:rPr>
                      <w:rFonts w:ascii="Cambria Math" w:hAnsi="Cambria Math"/>
                    </w:rPr>
                    <m:t>2</m:t>
                  </m:r>
                </m:sup>
              </m:sSup>
              <m:r>
                <m:rPr>
                  <m:sty m:val="p"/>
                </m:rPr>
                <w:rPr>
                  <w:rFonts w:ascii="Cambria Math" w:hAnsi="Cambria Math"/>
                </w:rPr>
                <m:t>(K)</m:t>
              </m:r>
            </m:sub>
          </m:sSub>
          <m:r>
            <m:rPr>
              <m:nor/>
            </m:rPr>
            <m:t xml:space="preserve"> is small</m:t>
          </m:r>
          <m:r>
            <m:rPr>
              <m:sty m:val="p"/>
            </m:rPr>
            <w:rPr>
              <w:rFonts w:ascii="Cambria Math" w:hAnsi="Cambria Math"/>
            </w:rPr>
            <m:t>.</m:t>
          </m:r>
          <m:r>
            <w:br/>
          </m:r>
        </m:oMath>
      </m:oMathPara>
    </w:p>
    <w:p w14:paraId="42D6B349" w14:textId="77777777" w:rsidR="009B259A" w:rsidRPr="00EC36BD" w:rsidRDefault="009B259A" w:rsidP="009B259A">
      <w:r w:rsidRPr="00EC36BD">
        <w:t>This serves as an empirical realization of the existence claim of the Universal Approximation Theorem for the biological mapping from pharmacogenomic features to IC50 response.</w:t>
      </w:r>
    </w:p>
    <w:p w14:paraId="41A8C4EC" w14:textId="77777777" w:rsidR="009B259A" w:rsidRPr="00EC36BD" w:rsidRDefault="009B259A" w:rsidP="009B259A">
      <w:r w:rsidRPr="00EC36BD">
        <w:rPr>
          <w:b/>
          <w:bCs/>
        </w:rPr>
        <w:t>Heuristic proof.</w:t>
      </w:r>
      <w:r w:rsidRPr="00EC36BD">
        <w:br/>
        <w:t xml:space="preserve">The IC50 response varies smoothly with pharmacogenomic features because it is governed by biochemical reaction kinetics and regulatory pathways. Small perturbations in gene expression or molecular features lead to small perturbations in drug sensitivity. Hidden layers in neural networks partition the input space into fine regions through nonlinear activations. Within each region, the network behaves approximately linearly. By combining a sufficient number of such regions, the </w:t>
      </w:r>
      <w:r w:rsidRPr="00EC36BD">
        <w:lastRenderedPageBreak/>
        <w:t>network constructs a flexible piecewise approximation of the IC50 response surface. Therefore, the biological response function is representable as a superposition of localized nonlinear basis functions implemented by hidden neurons, making it amenable to approximation by a feedforward neural network.</w:t>
      </w:r>
    </w:p>
    <w:p w14:paraId="02975D91" w14:textId="77777777" w:rsidR="009B259A" w:rsidRPr="00EC36BD" w:rsidRDefault="009B259A" w:rsidP="009B259A">
      <w:r w:rsidRPr="00EC36BD">
        <w:rPr>
          <w:b/>
          <w:bCs/>
        </w:rPr>
        <w:t>Mathematical derivation.</w:t>
      </w:r>
      <w:r w:rsidRPr="00EC36BD">
        <w:br/>
        <w:t>Let</w:t>
      </w:r>
    </w:p>
    <w:p w14:paraId="03ED3043" w14:textId="12C46736" w:rsidR="009B259A" w:rsidRPr="00EC36BD" w:rsidRDefault="00EC36BD" w:rsidP="009B259A">
      <m:oMathPara>
        <m:oMath>
          <m:r>
            <m:rPr>
              <m:scr m:val="script"/>
              <m:sty m:val="p"/>
            </m:rPr>
            <w:rPr>
              <w:rFonts w:ascii="Cambria Math" w:hAnsi="Cambria Math"/>
            </w:rPr>
            <m:t>H=</m:t>
          </m:r>
          <m:r>
            <m:rPr>
              <m:nor/>
            </m:rPr>
            <m:t>span</m:t>
          </m:r>
          <m:r>
            <m:rPr>
              <m:sty m:val="p"/>
            </m:rPr>
            <w:rPr>
              <w:rFonts w:ascii="Cambria Math" w:hAnsi="Cambria Math"/>
            </w:rPr>
            <m:t>{σ(</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x+b):w∈</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20</m:t>
              </m:r>
            </m:sup>
          </m:sSup>
          <m:r>
            <m:rPr>
              <m:sty m:val="p"/>
            </m:rPr>
            <w:rPr>
              <w:rFonts w:ascii="Cambria Math" w:hAnsi="Cambria Math"/>
            </w:rPr>
            <m:t>,b∈</m:t>
          </m:r>
          <m:r>
            <m:rPr>
              <m:scr m:val="double-struck"/>
              <m:sty m:val="p"/>
            </m:rPr>
            <w:rPr>
              <w:rFonts w:ascii="Cambria Math" w:hAnsi="Cambria Math"/>
            </w:rPr>
            <m:t>R}.</m:t>
          </m:r>
          <m:r>
            <w:br/>
          </m:r>
        </m:oMath>
      </m:oMathPara>
    </w:p>
    <w:p w14:paraId="3D6130BE" w14:textId="77777777" w:rsidR="009B259A" w:rsidRPr="00EC36BD" w:rsidRDefault="009B259A" w:rsidP="009B259A">
      <w:r w:rsidRPr="00EC36BD">
        <w:t>We aim to show that</w:t>
      </w:r>
    </w:p>
    <w:p w14:paraId="5497AE8C" w14:textId="03A4E2A8" w:rsidR="009B259A" w:rsidRPr="00EC36BD" w:rsidRDefault="009B259A" w:rsidP="009B259A">
      <m:oMathPara>
        <m:oMath>
          <m:acc>
            <m:accPr>
              <m:chr m:val="‾"/>
              <m:ctrlPr>
                <w:rPr>
                  <w:rFonts w:ascii="Cambria Math" w:hAnsi="Cambria Math"/>
                </w:rPr>
              </m:ctrlPr>
            </m:accPr>
            <m:e>
              <m:r>
                <m:rPr>
                  <m:scr m:val="script"/>
                  <m:sty m:val="p"/>
                </m:rPr>
                <w:rPr>
                  <w:rFonts w:ascii="Cambria Math" w:hAnsi="Cambria Math"/>
                </w:rPr>
                <m:t>H</m:t>
              </m:r>
            </m:e>
          </m:acc>
          <m:r>
            <m:rPr>
              <m:sty m:val="p"/>
            </m:rPr>
            <w:rPr>
              <w:rFonts w:ascii="Cambria Math" w:hAnsi="Cambria Math"/>
            </w:rPr>
            <m:t>=C(K).</m:t>
          </m:r>
          <m:r>
            <w:br/>
          </m:r>
        </m:oMath>
      </m:oMathPara>
    </w:p>
    <w:p w14:paraId="5A1010FE" w14:textId="04443EAB" w:rsidR="009B259A" w:rsidRPr="00EC36BD" w:rsidRDefault="009B259A" w:rsidP="009B259A">
      <w:r w:rsidRPr="00EC36BD">
        <w:t xml:space="preserve">Assume the contrary. Then there exists a nonzero signed Borel measure </w:t>
      </w:r>
      <m:oMath>
        <m:r>
          <m:rPr>
            <m:sty m:val="p"/>
          </m:rPr>
          <w:rPr>
            <w:rFonts w:ascii="Cambria Math" w:hAnsi="Cambria Math"/>
          </w:rPr>
          <m:t>μ</m:t>
        </m:r>
      </m:oMath>
      <w:r w:rsidRPr="00EC36BD">
        <w:t xml:space="preserve">on </w:t>
      </w:r>
      <m:oMath>
        <m:r>
          <m:rPr>
            <m:sty m:val="p"/>
          </m:rPr>
          <w:rPr>
            <w:rFonts w:ascii="Cambria Math" w:hAnsi="Cambria Math"/>
          </w:rPr>
          <m:t>K</m:t>
        </m:r>
      </m:oMath>
      <w:r w:rsidRPr="00EC36BD">
        <w:t>such that</w:t>
      </w:r>
    </w:p>
    <w:p w14:paraId="3568BBD6" w14:textId="3654A8CA" w:rsidR="009B259A" w:rsidRPr="00EC36BD" w:rsidRDefault="009B259A" w:rsidP="009B259A">
      <m:oMathPara>
        <m:oMath>
          <m:nary>
            <m:naryPr>
              <m:limLoc m:val="subSup"/>
              <m:grow m:val="1"/>
              <m:supHide m:val="1"/>
              <m:ctrlPr>
                <w:rPr>
                  <w:rFonts w:ascii="Cambria Math" w:hAnsi="Cambria Math"/>
                </w:rPr>
              </m:ctrlPr>
            </m:naryPr>
            <m:sub>
              <m:r>
                <m:rPr>
                  <m:sty m:val="p"/>
                </m:rPr>
                <w:rPr>
                  <w:rFonts w:ascii="Cambria Math" w:hAnsi="Cambria Math"/>
                </w:rPr>
                <m:t>K</m:t>
              </m:r>
            </m:sub>
            <m:sup/>
            <m:e>
              <m:r>
                <m:rPr>
                  <m:sty m:val="p"/>
                </m:rPr>
                <w:rPr>
                  <w:rFonts w:ascii="Cambria Math" w:hAnsi="Cambria Math"/>
                </w:rPr>
                <m:t>σ(</m:t>
              </m:r>
            </m:e>
          </m:nary>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r>
            <m:rPr>
              <m:nor/>
            </m:rPr>
            <m:t> </m:t>
          </m:r>
          <m:r>
            <m:rPr>
              <m:sty m:val="p"/>
            </m:rPr>
            <w:rPr>
              <w:rFonts w:ascii="Cambria Math" w:hAnsi="Cambria Math"/>
            </w:rPr>
            <m:t>dμ(x)=0∀w,b.</m:t>
          </m:r>
          <m:r>
            <w:br/>
          </m:r>
        </m:oMath>
      </m:oMathPara>
    </w:p>
    <w:p w14:paraId="0DFAD93C" w14:textId="77777777" w:rsidR="009B259A" w:rsidRPr="00EC36BD" w:rsidRDefault="009B259A" w:rsidP="009B259A">
      <w:r w:rsidRPr="00EC36BD">
        <w:t>Define the Fourier transform</w:t>
      </w:r>
    </w:p>
    <w:p w14:paraId="6B6C9A20" w14:textId="14A813E1" w:rsidR="009B259A" w:rsidRPr="00EC36BD" w:rsidRDefault="009B259A" w:rsidP="009B259A">
      <m:oMathPara>
        <m:oMath>
          <m:acc>
            <m:accPr>
              <m:ctrlPr>
                <w:rPr>
                  <w:rFonts w:ascii="Cambria Math" w:hAnsi="Cambria Math"/>
                </w:rPr>
              </m:ctrlPr>
            </m:accPr>
            <m:e>
              <m:r>
                <m:rPr>
                  <m:sty m:val="p"/>
                </m:rPr>
                <w:rPr>
                  <w:rFonts w:ascii="Cambria Math" w:hAnsi="Cambria Math"/>
                </w:rPr>
                <m:t>μ</m:t>
              </m:r>
            </m:e>
          </m:acc>
          <m:r>
            <m:rPr>
              <m:sty m:val="p"/>
            </m:rPr>
            <w:rPr>
              <w:rFonts w:ascii="Cambria Math" w:hAnsi="Cambria Math"/>
            </w:rPr>
            <m:t>(t)=</m:t>
          </m:r>
          <m:nary>
            <m:naryPr>
              <m:limLoc m:val="subSup"/>
              <m:grow m:val="1"/>
              <m:supHide m:val="1"/>
              <m:ctrlPr>
                <w:rPr>
                  <w:rFonts w:ascii="Cambria Math" w:hAnsi="Cambria Math"/>
                </w:rPr>
              </m:ctrlPr>
            </m:naryPr>
            <m:sub>
              <m:r>
                <m:rPr>
                  <m:sty m:val="p"/>
                </m:rPr>
                <w:rPr>
                  <w:rFonts w:ascii="Cambria Math" w:hAnsi="Cambria Math"/>
                </w:rPr>
                <m:t>K</m:t>
              </m:r>
            </m:sub>
            <m:sup/>
            <m:e>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x</m:t>
                  </m:r>
                </m:sup>
              </m:sSup>
            </m:e>
          </m:nary>
          <m:r>
            <m:rPr>
              <m:nor/>
            </m:rPr>
            <m:t> </m:t>
          </m:r>
          <m:r>
            <m:rPr>
              <m:sty m:val="p"/>
            </m:rPr>
            <w:rPr>
              <w:rFonts w:ascii="Cambria Math" w:hAnsi="Cambria Math"/>
            </w:rPr>
            <m:t>dμ(x).</m:t>
          </m:r>
          <m:r>
            <w:br/>
          </m:r>
        </m:oMath>
      </m:oMathPara>
    </w:p>
    <w:p w14:paraId="4061BAD5" w14:textId="5D1C13C2" w:rsidR="009B259A" w:rsidRPr="00EC36BD" w:rsidRDefault="009B259A" w:rsidP="009B259A">
      <w:r w:rsidRPr="00EC36BD">
        <w:t xml:space="preserve">Using the non-polynomial nature of </w:t>
      </w:r>
      <m:oMath>
        <m:r>
          <m:rPr>
            <m:sty m:val="p"/>
          </m:rPr>
          <w:rPr>
            <w:rFonts w:ascii="Cambria Math" w:hAnsi="Cambria Math"/>
          </w:rPr>
          <m:t>σ</m:t>
        </m:r>
      </m:oMath>
      <w:r w:rsidRPr="00EC36BD">
        <w:t>, one shows that the above condition implies</w:t>
      </w:r>
    </w:p>
    <w:p w14:paraId="004944F1" w14:textId="44E4F768" w:rsidR="009B259A" w:rsidRPr="00EC36BD" w:rsidRDefault="009B259A" w:rsidP="009B259A">
      <m:oMathPara>
        <m:oMath>
          <m:acc>
            <m:accPr>
              <m:ctrlPr>
                <w:rPr>
                  <w:rFonts w:ascii="Cambria Math" w:hAnsi="Cambria Math"/>
                </w:rPr>
              </m:ctrlPr>
            </m:accPr>
            <m:e>
              <m:r>
                <m:rPr>
                  <m:sty m:val="p"/>
                </m:rPr>
                <w:rPr>
                  <w:rFonts w:ascii="Cambria Math" w:hAnsi="Cambria Math"/>
                </w:rPr>
                <m:t>μ</m:t>
              </m:r>
            </m:e>
          </m:acc>
          <m:r>
            <m:rPr>
              <m:sty m:val="p"/>
            </m:rPr>
            <w:rPr>
              <w:rFonts w:ascii="Cambria Math" w:hAnsi="Cambria Math"/>
            </w:rPr>
            <m:t>(t)=0∀t∈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20</m:t>
              </m:r>
            </m:sup>
          </m:sSup>
          <m:r>
            <m:rPr>
              <m:sty m:val="p"/>
            </m:rPr>
            <w:rPr>
              <w:rFonts w:ascii="Cambria Math" w:hAnsi="Cambria Math"/>
            </w:rPr>
            <m:t>.</m:t>
          </m:r>
          <m:r>
            <w:br/>
          </m:r>
        </m:oMath>
      </m:oMathPara>
    </w:p>
    <w:p w14:paraId="15E67093" w14:textId="4A2299AA" w:rsidR="009B259A" w:rsidRPr="00EC36BD" w:rsidRDefault="009B259A" w:rsidP="009B259A">
      <w:r w:rsidRPr="00EC36BD">
        <w:t xml:space="preserve">Hence </w:t>
      </w:r>
      <m:oMath>
        <m:r>
          <m:rPr>
            <m:sty m:val="p"/>
          </m:rPr>
          <w:rPr>
            <w:rFonts w:ascii="Cambria Math" w:hAnsi="Cambria Math"/>
          </w:rPr>
          <m:t>μ=0</m:t>
        </m:r>
      </m:oMath>
      <w:r w:rsidRPr="00EC36BD">
        <w:t>, contradicting the assumption. Therefore</w:t>
      </w:r>
    </w:p>
    <w:p w14:paraId="44797286" w14:textId="5EA73BEF" w:rsidR="009B259A" w:rsidRPr="00EC36BD" w:rsidRDefault="009B259A" w:rsidP="009B259A">
      <m:oMathPara>
        <m:oMath>
          <m:acc>
            <m:accPr>
              <m:chr m:val="‾"/>
              <m:ctrlPr>
                <w:rPr>
                  <w:rFonts w:ascii="Cambria Math" w:hAnsi="Cambria Math"/>
                </w:rPr>
              </m:ctrlPr>
            </m:accPr>
            <m:e>
              <m:r>
                <m:rPr>
                  <m:scr m:val="script"/>
                  <m:sty m:val="p"/>
                </m:rPr>
                <w:rPr>
                  <w:rFonts w:ascii="Cambria Math" w:hAnsi="Cambria Math"/>
                </w:rPr>
                <m:t>H</m:t>
              </m:r>
            </m:e>
          </m:acc>
          <m:r>
            <m:rPr>
              <m:sty m:val="p"/>
            </m:rPr>
            <w:rPr>
              <w:rFonts w:ascii="Cambria Math" w:hAnsi="Cambria Math"/>
            </w:rPr>
            <m:t>=C(K).</m:t>
          </m:r>
          <m:r>
            <w:br/>
          </m:r>
        </m:oMath>
      </m:oMathPara>
    </w:p>
    <w:p w14:paraId="022B4C97" w14:textId="28A7BAB3" w:rsidR="009B259A" w:rsidRPr="00EC36BD" w:rsidRDefault="009B259A" w:rsidP="009B259A">
      <w:r w:rsidRPr="00EC36BD">
        <w:t xml:space="preserve">By the Stone–Weierstrass theorem, finite linear combinations of ridge functions </w:t>
      </w:r>
      <m:oMath>
        <m:r>
          <m:rPr>
            <m:sty m:val="p"/>
          </m:rPr>
          <w:rPr>
            <w:rFonts w:ascii="Cambria Math" w:hAnsi="Cambria Math"/>
          </w:rPr>
          <m:t>σ(</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oMath>
      <w:r w:rsidRPr="00EC36BD">
        <w:t xml:space="preserve">are dense in </w:t>
      </w:r>
      <m:oMath>
        <m:r>
          <m:rPr>
            <m:sty m:val="p"/>
          </m:rPr>
          <w:rPr>
            <w:rFonts w:ascii="Cambria Math" w:hAnsi="Cambria Math"/>
          </w:rPr>
          <m:t>C(K)</m:t>
        </m:r>
      </m:oMath>
      <w:r w:rsidRPr="00EC36BD">
        <w:t xml:space="preserve">. Thus, for every continuous function </w:t>
      </w:r>
      <m:oMath>
        <m:r>
          <m:rPr>
            <m:sty m:val="p"/>
          </m:rPr>
          <w:rPr>
            <w:rFonts w:ascii="Cambria Math" w:hAnsi="Cambria Math"/>
          </w:rPr>
          <m:t>f</m:t>
        </m:r>
      </m:oMath>
      <w:r w:rsidRPr="00EC36BD">
        <w:t xml:space="preserve">and every </w:t>
      </w:r>
      <m:oMath>
        <m:r>
          <m:rPr>
            <m:sty m:val="p"/>
          </m:rPr>
          <w:rPr>
            <w:rFonts w:ascii="Cambria Math" w:hAnsi="Cambria Math"/>
          </w:rPr>
          <m:t>ε&gt;0</m:t>
        </m:r>
      </m:oMath>
      <w:r w:rsidRPr="00EC36BD">
        <w:t xml:space="preserve">, there exists a neural network </w:t>
      </w:r>
      <m:oMath>
        <m:acc>
          <m:accPr>
            <m:ctrlPr>
              <w:rPr>
                <w:rFonts w:ascii="Cambria Math" w:hAnsi="Cambria Math"/>
              </w:rPr>
            </m:ctrlPr>
          </m:accPr>
          <m:e>
            <m:r>
              <m:rPr>
                <m:sty m:val="p"/>
              </m:rPr>
              <w:rPr>
                <w:rFonts w:ascii="Cambria Math" w:hAnsi="Cambria Math"/>
              </w:rPr>
              <m:t>f</m:t>
            </m:r>
          </m:e>
        </m:acc>
        <m:r>
          <m:rPr>
            <m:scr m:val="script"/>
            <m:sty m:val="p"/>
          </m:rPr>
          <w:rPr>
            <w:rFonts w:ascii="Cambria Math" w:hAnsi="Cambria Math"/>
          </w:rPr>
          <m:t>∈H</m:t>
        </m:r>
      </m:oMath>
      <w:r w:rsidRPr="00EC36BD">
        <w:t>such that</w:t>
      </w:r>
    </w:p>
    <w:p w14:paraId="5225F49A" w14:textId="59BCFA53" w:rsidR="009B259A" w:rsidRPr="00EC36BD" w:rsidRDefault="009B259A" w:rsidP="009B259A">
      <m:oMathPara>
        <m:oMath>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x∈K</m:t>
              </m:r>
            </m:lim>
          </m:limLow>
          <m:r>
            <m:rPr>
              <m:sty m:val="p"/>
            </m:rPr>
            <w:rPr>
              <w:rFonts w:ascii="Cambria Math" w:hAnsi="Cambria Math"/>
            </w:rPr>
            <m:t>∣f(x)-</m:t>
          </m:r>
          <m:acc>
            <m:accPr>
              <m:ctrlPr>
                <w:rPr>
                  <w:rFonts w:ascii="Cambria Math" w:hAnsi="Cambria Math"/>
                </w:rPr>
              </m:ctrlPr>
            </m:accPr>
            <m:e>
              <m:r>
                <m:rPr>
                  <m:sty m:val="p"/>
                </m:rPr>
                <w:rPr>
                  <w:rFonts w:ascii="Cambria Math" w:hAnsi="Cambria Math"/>
                </w:rPr>
                <m:t>f</m:t>
              </m:r>
            </m:e>
          </m:acc>
          <m:r>
            <m:rPr>
              <m:sty m:val="p"/>
            </m:rPr>
            <w:rPr>
              <w:rFonts w:ascii="Cambria Math" w:hAnsi="Cambria Math"/>
            </w:rPr>
            <m:t>(x)∣&lt;ε.</m:t>
          </m:r>
          <m:r>
            <w:br/>
          </m:r>
        </m:oMath>
      </m:oMathPara>
    </w:p>
    <w:p w14:paraId="1525972F" w14:textId="628CE3DB" w:rsidR="009B259A" w:rsidRPr="00EC36BD" w:rsidRDefault="009B259A" w:rsidP="009B259A">
      <w:r w:rsidRPr="00EC36BD">
        <w:t xml:space="preserve">Since the IC50 response function is continuous on a compact pharmacogenomic domain, it belongs to </w:t>
      </w:r>
      <m:oMath>
        <m:r>
          <m:rPr>
            <m:sty m:val="p"/>
          </m:rPr>
          <w:rPr>
            <w:rFonts w:ascii="Cambria Math" w:hAnsi="Cambria Math"/>
          </w:rPr>
          <m:t>C(K)</m:t>
        </m:r>
      </m:oMath>
      <w:r w:rsidRPr="00EC36BD">
        <w:t>, and therefore admits arbitrarily accurate neural network approximations.</w:t>
      </w:r>
    </w:p>
    <w:p w14:paraId="221929EB" w14:textId="0DB58BB1" w:rsidR="006177A2" w:rsidRDefault="006177A2"/>
    <w:p w14:paraId="3184F6C6" w14:textId="27DE7BEB" w:rsidR="009B259A" w:rsidRPr="00284F59" w:rsidRDefault="00284F59" w:rsidP="009B259A">
      <w:pPr>
        <w:rPr>
          <w:sz w:val="32"/>
          <w:szCs w:val="32"/>
        </w:rPr>
      </w:pPr>
      <w:r w:rsidRPr="00284F59">
        <w:rPr>
          <w:b/>
          <w:bCs/>
          <w:sz w:val="32"/>
          <w:szCs w:val="32"/>
        </w:rPr>
        <w:t>THEOREM 2 (LIPSCHITZ CONTINUITY OF COMPOSED FUNCTIONS — FUNCTIONAL ANALYSIS).</w:t>
      </w:r>
    </w:p>
    <w:p w14:paraId="54FBD84E" w14:textId="7AA36B13" w:rsidR="009B259A" w:rsidRPr="009B259A" w:rsidRDefault="009B259A" w:rsidP="009B259A">
      <w:r w:rsidRPr="009B259A">
        <w:rPr>
          <w:b/>
          <w:bCs/>
        </w:rPr>
        <w:lastRenderedPageBreak/>
        <w:t>Theorem (existing).</w:t>
      </w:r>
      <w:r w:rsidRPr="009B259A">
        <w:br/>
        <w:t xml:space="preserve">Let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0</m:t>
                </m:r>
              </m:sub>
            </m:sSub>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1</m:t>
                </m:r>
              </m:sub>
            </m:sSub>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1</m:t>
                </m:r>
              </m:sub>
            </m:sSub>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2</m:t>
                </m:r>
              </m:sub>
            </m:sSub>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m-1</m:t>
                </m:r>
              </m:sub>
            </m:sSub>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m</m:t>
                </m:r>
              </m:sub>
            </m:sSub>
          </m:sup>
        </m:sSup>
      </m:oMath>
      <w:r w:rsidRPr="009B259A">
        <w:t xml:space="preserve">be Lipschitz continuous functions with Lipschitz constants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oMath>
      <w:r w:rsidRPr="009B259A">
        <w:t>, respectively. Then the composition</w:t>
      </w:r>
    </w:p>
    <w:p w14:paraId="5CA60206" w14:textId="3B26367F" w:rsidR="009B259A" w:rsidRPr="009B259A" w:rsidRDefault="009B259A" w:rsidP="009B259A">
      <m:oMathPara>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br/>
          </m:r>
        </m:oMath>
      </m:oMathPara>
    </w:p>
    <w:p w14:paraId="67A88A47" w14:textId="77777777" w:rsidR="009B259A" w:rsidRPr="009B259A" w:rsidRDefault="009B259A" w:rsidP="009B259A">
      <w:r w:rsidRPr="009B259A">
        <w:t>is Lipschitz continuous with Lipschitz constant</w:t>
      </w:r>
    </w:p>
    <w:p w14:paraId="47CDA76D" w14:textId="6C99AFFD" w:rsidR="009B259A" w:rsidRPr="009B259A" w:rsidRDefault="009B259A" w:rsidP="009B259A">
      <m:oMathPara>
        <m:oMath>
          <m: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L</m:t>
                  </m:r>
                </m:e>
                <m:sub>
                  <m:r>
                    <w:rPr>
                      <w:rFonts w:ascii="Cambria Math" w:hAnsi="Cambria Math"/>
                    </w:rPr>
                    <m:t>i</m:t>
                  </m:r>
                </m:sub>
              </m:sSub>
            </m:e>
          </m:nary>
          <m:r>
            <w:rPr>
              <w:rFonts w:ascii="Cambria Math" w:hAnsi="Cambria Math"/>
            </w:rPr>
            <m:t>,</m:t>
          </m:r>
          <m:r>
            <w:rPr>
              <w:i/>
            </w:rPr>
            <w:br/>
          </m:r>
        </m:oMath>
      </m:oMathPara>
    </w:p>
    <w:p w14:paraId="379CCE13" w14:textId="77777777" w:rsidR="009B259A" w:rsidRPr="009B259A" w:rsidRDefault="009B259A" w:rsidP="009B259A">
      <w:r w:rsidRPr="009B259A">
        <w:t>that is,</w:t>
      </w:r>
    </w:p>
    <w:p w14:paraId="159A81B3" w14:textId="10A4E190" w:rsidR="009B259A" w:rsidRPr="009B259A" w:rsidRDefault="009B259A" w:rsidP="009B259A">
      <m:oMathPara>
        <m:oMath>
          <m:r>
            <m:rPr>
              <m:sty m:val="p"/>
            </m:rPr>
            <w:rPr>
              <w:rFonts w:ascii="Cambria Math" w:hAnsi="Cambria Math"/>
            </w:rPr>
            <m:t>∥</m:t>
          </m:r>
          <m:r>
            <w:rPr>
              <w:rFonts w:ascii="Cambria Math" w:hAnsi="Cambria Math"/>
            </w:rPr>
            <m:t>F(x)-F(y)</m:t>
          </m:r>
          <m:r>
            <m:rPr>
              <m:sty m:val="p"/>
            </m:rPr>
            <w:rPr>
              <w:rFonts w:ascii="Cambria Math" w:hAnsi="Cambria Math"/>
            </w:rPr>
            <m:t>∥</m:t>
          </m:r>
          <m:r>
            <w:rPr>
              <w:rFonts w:ascii="Cambria Math" w:hAnsi="Cambria Math"/>
            </w:rPr>
            <m:t>≤</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L</m:t>
                      </m:r>
                    </m:e>
                    <m:sub>
                      <m:r>
                        <w:rPr>
                          <w:rFonts w:ascii="Cambria Math" w:hAnsi="Cambria Math"/>
                        </w:rPr>
                        <m:t>i</m:t>
                      </m:r>
                    </m:sub>
                  </m:sSub>
                </m:e>
              </m:nary>
            </m:e>
          </m:d>
          <m:r>
            <m:rPr>
              <m:sty m:val="p"/>
            </m:rPr>
            <w:rPr>
              <w:rFonts w:ascii="Cambria Math" w:hAnsi="Cambria Math"/>
            </w:rPr>
            <m:t>∥</m:t>
          </m:r>
          <m:r>
            <w:rPr>
              <w:rFonts w:ascii="Cambria Math" w:hAnsi="Cambria Math"/>
            </w:rPr>
            <m:t>x-y</m:t>
          </m:r>
          <m:r>
            <m:rPr>
              <m:sty m:val="p"/>
            </m:rPr>
            <w:rPr>
              <w:rFonts w:ascii="Cambria Math" w:hAnsi="Cambria Math"/>
            </w:rPr>
            <m:t>∥∀</m:t>
          </m:r>
          <m:r>
            <w:rPr>
              <w:rFonts w:ascii="Cambria Math" w:hAnsi="Cambria Math"/>
            </w:rPr>
            <m:t>x,y</m:t>
          </m:r>
          <m:r>
            <m:rPr>
              <m:sty m:val="p"/>
            </m:rPr>
            <w:rPr>
              <w:rFonts w:ascii="Cambria Math" w:hAnsi="Cambria Math"/>
            </w:rPr>
            <m:t>.</m:t>
          </m:r>
          <m:r>
            <w:br/>
          </m:r>
        </m:oMath>
      </m:oMathPara>
    </w:p>
    <w:p w14:paraId="636E7EDA" w14:textId="6A7A6074" w:rsidR="009B259A" w:rsidRPr="009B259A" w:rsidRDefault="009B259A" w:rsidP="009B259A">
      <w:r w:rsidRPr="009B259A">
        <w:rPr>
          <w:b/>
          <w:bCs/>
        </w:rPr>
        <w:t>Using your model.</w:t>
      </w:r>
      <w:r w:rsidRPr="009B259A">
        <w:br/>
        <w:t xml:space="preserve">Let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20</m:t>
            </m:r>
          </m:sup>
        </m:sSup>
      </m:oMath>
      <w:r w:rsidRPr="009B259A">
        <w:t xml:space="preserve">denote the pharmacogenomic feature vector and 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oMath>
      <w:r w:rsidRPr="009B259A">
        <w:t>denote the IC50 predictor implemented by the trained Transformer, Transformer+BiLSTM, or Transformer+BiLSTM with Attention Pooling model. Each of these predictors can be written as a finite composition of affine maps and activation functions:</w:t>
      </w:r>
    </w:p>
    <w:p w14:paraId="21054E55" w14:textId="5BD9D397" w:rsidR="009B259A" w:rsidRPr="009B259A" w:rsidRDefault="009B259A" w:rsidP="009B259A">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w:rPr>
              <w:i/>
            </w:rPr>
            <w:br/>
          </m:r>
        </m:oMath>
      </m:oMathPara>
    </w:p>
    <w:p w14:paraId="639AE440" w14:textId="2DBBD03B" w:rsidR="009B259A" w:rsidRPr="009B259A" w:rsidRDefault="009B259A" w:rsidP="009B259A">
      <w:r w:rsidRPr="009B259A">
        <w:t xml:space="preserve">where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i</m:t>
            </m:r>
          </m:sub>
        </m:sSub>
      </m:oMath>
      <w:r w:rsidRPr="009B259A">
        <w:t xml:space="preserve">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9B259A">
        <w:t xml:space="preserve">are ReLU, GELU, or tanh-type activations. Each affine map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9B259A">
        <w:t xml:space="preserve">is Lipschitz continuous with constant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9B259A">
        <w:t xml:space="preserve">, and each activation function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9B259A">
        <w:t>is Lipschitz continuous with a finite constant. Hence, by the classical theorem, the learned predictors satisfy</w:t>
      </w:r>
    </w:p>
    <w:p w14:paraId="48334F21" w14:textId="29753ADF" w:rsidR="009B259A" w:rsidRPr="009B259A" w:rsidRDefault="009B259A" w:rsidP="009B259A">
      <m:oMathPara>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(y)</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x-y</m:t>
          </m:r>
          <m:r>
            <m:rPr>
              <m:sty m:val="p"/>
            </m:rPr>
            <w:rPr>
              <w:rFonts w:ascii="Cambria Math" w:hAnsi="Cambria Math"/>
            </w:rPr>
            <m:t>∥</m:t>
          </m:r>
          <m:r>
            <w:br/>
          </m:r>
        </m:oMath>
      </m:oMathPara>
    </w:p>
    <w:p w14:paraId="736F83B2" w14:textId="334AB069" w:rsidR="009B259A" w:rsidRPr="009B259A" w:rsidRDefault="009B259A" w:rsidP="009B259A">
      <w:r w:rsidRPr="009B259A">
        <w:t xml:space="preserve">for some finite constant </w:t>
      </w:r>
      <m:oMath>
        <m:r>
          <w:rPr>
            <w:rFonts w:ascii="Cambria Math" w:hAnsi="Cambria Math"/>
          </w:rPr>
          <m:t>L</m:t>
        </m:r>
      </m:oMath>
      <w:r w:rsidRPr="009B259A">
        <w:t>. Empirically, this is reflected in the observed robustness of predictions: small perturbations of pharmacogenomic features produce bounded changes in predicted IC50 values. The Transformer and Transformer+BiLSTM models exhibit this behavior consistently, and the best-performing Transformer+BiLSTM with Attention Pooling model provides the strongest empirical instance due to its highest coefficient of determination.</w:t>
      </w:r>
    </w:p>
    <w:p w14:paraId="181C3449" w14:textId="77777777" w:rsidR="009B259A" w:rsidRPr="009B259A" w:rsidRDefault="009B259A" w:rsidP="009B259A">
      <w:r w:rsidRPr="009B259A">
        <w:rPr>
          <w:b/>
          <w:bCs/>
        </w:rPr>
        <w:t>Heuristic proof.</w:t>
      </w:r>
      <w:r w:rsidRPr="009B259A">
        <w:br/>
        <w:t>Biological response functions such as IC50 depend on molecular concentrations and regulatory signals governed by biochemical kinetics. These mechanisms are inherently noise-tolerant and do not exhibit arbitrarily steep response gradients with respect to genomic inputs. Neural networks trained with mean squared error loss penalize large output deviations and favor smooth mappings. Each layer of the Transformer and BiLSTM architectures performs a bounded transformation of its input representation. The successive application of such bounded transformations preserves smoothness and prevents explosive sensitivity to small feature changes. Consequently, the learned IC50 predictors behave as functions with globally bounded slope, consistent with Lipschitz continuity.</w:t>
      </w:r>
    </w:p>
    <w:p w14:paraId="0D0E884C" w14:textId="77777777" w:rsidR="009B259A" w:rsidRPr="009B259A" w:rsidRDefault="009B259A" w:rsidP="009B259A">
      <w:r w:rsidRPr="009B259A">
        <w:rPr>
          <w:b/>
          <w:bCs/>
        </w:rPr>
        <w:lastRenderedPageBreak/>
        <w:t>Mathematical derivation.</w:t>
      </w:r>
      <w:r w:rsidRPr="009B259A">
        <w:br/>
        <w:t>Let</w:t>
      </w:r>
    </w:p>
    <w:p w14:paraId="018F92CC" w14:textId="11440459" w:rsidR="009B259A" w:rsidRPr="009B259A" w:rsidRDefault="009B259A" w:rsidP="009B259A">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w:rPr>
              <w:i/>
            </w:rPr>
            <w:br/>
          </m:r>
        </m:oMath>
      </m:oMathPara>
    </w:p>
    <w:p w14:paraId="7BFF3EA6" w14:textId="338D17DB" w:rsidR="009B259A" w:rsidRPr="009B259A" w:rsidRDefault="009B259A" w:rsidP="009B259A">
      <w:r w:rsidRPr="009B259A">
        <w:t xml:space="preserve">where each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9B259A">
        <w:t xml:space="preserve">is either an affine map or an activation function. For affine maps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i</m:t>
            </m:r>
          </m:sub>
        </m:sSub>
      </m:oMath>
      <w:r w:rsidRPr="009B259A">
        <w:t>,</w:t>
      </w:r>
    </w:p>
    <w:p w14:paraId="0A135C65" w14:textId="23E7E292" w:rsidR="009B259A" w:rsidRPr="009B259A" w:rsidRDefault="009B259A" w:rsidP="009B259A">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(y)</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(x-y)</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x-y</m:t>
          </m:r>
          <m:r>
            <m:rPr>
              <m:sty m:val="p"/>
            </m:rPr>
            <w:rPr>
              <w:rFonts w:ascii="Cambria Math" w:hAnsi="Cambria Math"/>
            </w:rPr>
            <m:t>∥.</m:t>
          </m:r>
          <m:r>
            <w:br/>
          </m:r>
        </m:oMath>
      </m:oMathPara>
    </w:p>
    <w:p w14:paraId="23CC57E6" w14:textId="7B79DA74" w:rsidR="009B259A" w:rsidRPr="009B259A" w:rsidRDefault="009B259A" w:rsidP="009B259A">
      <w:r w:rsidRPr="009B259A">
        <w:t xml:space="preserve">Thus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9B259A">
        <w:t xml:space="preserve">is Lipschitz with constant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9B259A">
        <w:t xml:space="preserve">. For activation functions </w:t>
      </w:r>
      <m:oMath>
        <m:r>
          <w:rPr>
            <w:rFonts w:ascii="Cambria Math" w:hAnsi="Cambria Math"/>
          </w:rPr>
          <m:t>σ</m:t>
        </m:r>
      </m:oMath>
      <w:r w:rsidRPr="009B259A">
        <w:t>used in the models, one has</w:t>
      </w:r>
    </w:p>
    <w:p w14:paraId="7154D7C9" w14:textId="339C0C58" w:rsidR="009B259A" w:rsidRPr="009B259A" w:rsidRDefault="009B259A" w:rsidP="009B259A">
      <m:oMathPara>
        <m:oMath>
          <m:r>
            <m:rPr>
              <m:sty m:val="p"/>
            </m:rPr>
            <w:rPr>
              <w:rFonts w:ascii="Cambria Math" w:hAnsi="Cambria Math"/>
            </w:rPr>
            <m:t>∣</m:t>
          </m:r>
          <m:r>
            <w:rPr>
              <w:rFonts w:ascii="Cambria Math" w:hAnsi="Cambria Math"/>
            </w:rPr>
            <m:t>σ(u)-σ(v)</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σ</m:t>
              </m:r>
            </m:sub>
          </m:sSub>
          <m:r>
            <m:rPr>
              <m:sty m:val="p"/>
            </m:rPr>
            <w:rPr>
              <w:rFonts w:ascii="Cambria Math" w:hAnsi="Cambria Math"/>
            </w:rPr>
            <m:t>∣</m:t>
          </m:r>
          <m:r>
            <w:rPr>
              <w:rFonts w:ascii="Cambria Math" w:hAnsi="Cambria Math"/>
            </w:rPr>
            <m:t>u-v</m:t>
          </m:r>
          <m:r>
            <m:rPr>
              <m:sty m:val="p"/>
            </m:rPr>
            <w:rPr>
              <w:rFonts w:ascii="Cambria Math" w:hAnsi="Cambria Math"/>
            </w:rPr>
            <m:t>∣</m:t>
          </m:r>
          <m:r>
            <w:rPr>
              <w:rFonts w:ascii="Cambria Math" w:hAnsi="Cambria Math"/>
            </w:rPr>
            <m:t>,</m:t>
          </m:r>
          <m:r>
            <w:rPr>
              <w:i/>
            </w:rPr>
            <w:br/>
          </m:r>
        </m:oMath>
      </m:oMathPara>
    </w:p>
    <w:p w14:paraId="5EE733ED" w14:textId="79FC2F99" w:rsidR="009B259A" w:rsidRPr="009B259A" w:rsidRDefault="009B259A" w:rsidP="009B259A">
      <w:r w:rsidRPr="009B259A">
        <w:t xml:space="preserve">with </w:t>
      </w:r>
      <m:oMath>
        <m:sSub>
          <m:sSubPr>
            <m:ctrlPr>
              <w:rPr>
                <w:rFonts w:ascii="Cambria Math" w:hAnsi="Cambria Math"/>
              </w:rPr>
            </m:ctrlPr>
          </m:sSubPr>
          <m:e>
            <m:r>
              <w:rPr>
                <w:rFonts w:ascii="Cambria Math" w:hAnsi="Cambria Math"/>
              </w:rPr>
              <m:t>L</m:t>
            </m:r>
          </m:e>
          <m:sub>
            <m:r>
              <w:rPr>
                <w:rFonts w:ascii="Cambria Math" w:hAnsi="Cambria Math"/>
              </w:rPr>
              <m:t>σ</m:t>
            </m:r>
          </m:sub>
        </m:sSub>
        <m:r>
          <w:rPr>
            <w:rFonts w:ascii="Cambria Math" w:hAnsi="Cambria Math"/>
          </w:rPr>
          <m:t>&lt;</m:t>
        </m:r>
        <m:r>
          <m:rPr>
            <m:sty m:val="p"/>
          </m:rPr>
          <w:rPr>
            <w:rFonts w:ascii="Cambria Math" w:hAnsi="Cambria Math"/>
          </w:rPr>
          <m:t>∞</m:t>
        </m:r>
      </m:oMath>
      <w:r w:rsidRPr="009B259A">
        <w:t xml:space="preserve">(for ReLU and tanh, </w:t>
      </w:r>
      <m:oMath>
        <m:sSub>
          <m:sSubPr>
            <m:ctrlPr>
              <w:rPr>
                <w:rFonts w:ascii="Cambria Math" w:hAnsi="Cambria Math"/>
              </w:rPr>
            </m:ctrlPr>
          </m:sSubPr>
          <m:e>
            <m:r>
              <w:rPr>
                <w:rFonts w:ascii="Cambria Math" w:hAnsi="Cambria Math"/>
              </w:rPr>
              <m:t>L</m:t>
            </m:r>
          </m:e>
          <m:sub>
            <m:r>
              <w:rPr>
                <w:rFonts w:ascii="Cambria Math" w:hAnsi="Cambria Math"/>
              </w:rPr>
              <m:t>σ</m:t>
            </m:r>
          </m:sub>
        </m:sSub>
        <m:r>
          <w:rPr>
            <w:rFonts w:ascii="Cambria Math" w:hAnsi="Cambria Math"/>
          </w:rPr>
          <m:t>=1</m:t>
        </m:r>
      </m:oMath>
      <w:r w:rsidRPr="009B259A">
        <w:t xml:space="preserve">; for GELU, </w:t>
      </w:r>
      <m:oMath>
        <m:sSub>
          <m:sSubPr>
            <m:ctrlPr>
              <w:rPr>
                <w:rFonts w:ascii="Cambria Math" w:hAnsi="Cambria Math"/>
              </w:rPr>
            </m:ctrlPr>
          </m:sSubPr>
          <m:e>
            <m:r>
              <w:rPr>
                <w:rFonts w:ascii="Cambria Math" w:hAnsi="Cambria Math"/>
              </w:rPr>
              <m:t>L</m:t>
            </m:r>
          </m:e>
          <m:sub>
            <m:r>
              <w:rPr>
                <w:rFonts w:ascii="Cambria Math" w:hAnsi="Cambria Math"/>
              </w:rPr>
              <m:t>σ</m:t>
            </m:r>
          </m:sub>
        </m:sSub>
        <m:r>
          <w:rPr>
            <w:rFonts w:ascii="Cambria Math" w:hAnsi="Cambria Math"/>
          </w:rPr>
          <m:t>=</m:t>
        </m:r>
        <m:r>
          <m:rPr>
            <m:sty m:val="p"/>
          </m:rPr>
          <w:rPr>
            <w:rFonts w:ascii="Cambria Math" w:hAnsi="Cambria Math"/>
          </w:rPr>
          <m:t>sup</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rsidRPr="009B259A">
        <w:t>). By repeated application of the composition inequality,</w:t>
      </w:r>
    </w:p>
    <w:p w14:paraId="66BFF951" w14:textId="31F30939" w:rsidR="009B259A" w:rsidRPr="009B259A" w:rsidRDefault="009B259A" w:rsidP="009B259A">
      <m:oMathPara>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(y)</m:t>
          </m:r>
          <m:r>
            <m:rPr>
              <m:sty m:val="p"/>
            </m:rPr>
            <w:rPr>
              <w:rFonts w:ascii="Cambria Math" w:hAnsi="Cambria Math"/>
            </w:rPr>
            <m:t>∥</m:t>
          </m:r>
          <m:r>
            <w:rPr>
              <w:rFonts w:ascii="Cambria Math" w:hAnsi="Cambria Math"/>
            </w:rPr>
            <m:t>≤</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L</m:t>
                      </m:r>
                    </m:e>
                    <m:sub>
                      <m:r>
                        <w:rPr>
                          <w:rFonts w:ascii="Cambria Math" w:hAnsi="Cambria Math"/>
                        </w:rPr>
                        <m:t>i</m:t>
                      </m:r>
                    </m:sub>
                  </m:sSub>
                </m:e>
              </m:nary>
            </m:e>
          </m:d>
          <m:r>
            <m:rPr>
              <m:sty m:val="p"/>
            </m:rPr>
            <w:rPr>
              <w:rFonts w:ascii="Cambria Math" w:hAnsi="Cambria Math"/>
            </w:rPr>
            <m:t>∥</m:t>
          </m:r>
          <m:r>
            <w:rPr>
              <w:rFonts w:ascii="Cambria Math" w:hAnsi="Cambria Math"/>
            </w:rPr>
            <m:t>x-y</m:t>
          </m:r>
          <m:r>
            <m:rPr>
              <m:sty m:val="p"/>
            </m:rPr>
            <w:rPr>
              <w:rFonts w:ascii="Cambria Math" w:hAnsi="Cambria Math"/>
            </w:rPr>
            <m:t>∥.</m:t>
          </m:r>
          <m:r>
            <w:br/>
          </m:r>
        </m:oMath>
      </m:oMathPara>
    </w:p>
    <w:p w14:paraId="6DCC79AE" w14:textId="77777777" w:rsidR="009B259A" w:rsidRPr="009B259A" w:rsidRDefault="009B259A" w:rsidP="009B259A">
      <w:r w:rsidRPr="009B259A">
        <w:t>Defining</w:t>
      </w:r>
    </w:p>
    <w:p w14:paraId="5864FF92" w14:textId="3C11FB80" w:rsidR="009B259A" w:rsidRPr="009B259A" w:rsidRDefault="009B259A" w:rsidP="009B259A">
      <m:oMathPara>
        <m:oMath>
          <m: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L</m:t>
                  </m:r>
                </m:e>
                <m:sub>
                  <m:r>
                    <w:rPr>
                      <w:rFonts w:ascii="Cambria Math" w:hAnsi="Cambria Math"/>
                    </w:rPr>
                    <m:t>i</m:t>
                  </m:r>
                </m:sub>
              </m:sSub>
            </m:e>
          </m:nary>
          <m:r>
            <w:rPr>
              <w:rFonts w:ascii="Cambria Math" w:hAnsi="Cambria Math"/>
            </w:rPr>
            <m:t>,</m:t>
          </m:r>
          <m:r>
            <w:rPr>
              <w:i/>
            </w:rPr>
            <w:br/>
          </m:r>
        </m:oMath>
      </m:oMathPara>
    </w:p>
    <w:p w14:paraId="35AD6B84" w14:textId="77777777" w:rsidR="009B259A" w:rsidRPr="009B259A" w:rsidRDefault="009B259A" w:rsidP="009B259A">
      <w:r w:rsidRPr="009B259A">
        <w:t>we obtain</w:t>
      </w:r>
    </w:p>
    <w:p w14:paraId="59027ADF" w14:textId="4FE6EAC8" w:rsidR="009B259A" w:rsidRPr="009B259A" w:rsidRDefault="009B259A" w:rsidP="009B259A">
      <m:oMathPara>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(y)</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x-y</m:t>
          </m:r>
          <m:r>
            <m:rPr>
              <m:sty m:val="p"/>
            </m:rPr>
            <w:rPr>
              <w:rFonts w:ascii="Cambria Math" w:hAnsi="Cambria Math"/>
            </w:rPr>
            <m:t>∥∀</m:t>
          </m:r>
          <m:r>
            <w:rPr>
              <w:rFonts w:ascii="Cambria Math" w:hAnsi="Cambria Math"/>
            </w:rPr>
            <m:t>x,y∈K</m:t>
          </m:r>
          <m:r>
            <m:rPr>
              <m:sty m:val="p"/>
            </m:rPr>
            <w:rPr>
              <w:rFonts w:ascii="Cambria Math" w:hAnsi="Cambria Math"/>
            </w:rPr>
            <m:t>.</m:t>
          </m:r>
          <m:r>
            <w:br/>
          </m:r>
        </m:oMath>
      </m:oMathPara>
    </w:p>
    <w:p w14:paraId="4F30A7A2" w14:textId="77777777" w:rsidR="009B259A" w:rsidRPr="009B259A" w:rsidRDefault="009B259A" w:rsidP="009B259A">
      <w:r w:rsidRPr="009B259A">
        <w:t>Therefore, the learned IC50 predictor is Lipschitz continuous on the pharmacogenomic feature domain.</w:t>
      </w:r>
    </w:p>
    <w:p w14:paraId="210AE8AE" w14:textId="77777777" w:rsidR="00230915" w:rsidRDefault="00230915"/>
    <w:p w14:paraId="78160866" w14:textId="6F38C430" w:rsidR="009B259A" w:rsidRPr="00284F59" w:rsidRDefault="00284F59" w:rsidP="009B259A">
      <w:pPr>
        <w:rPr>
          <w:sz w:val="32"/>
          <w:szCs w:val="32"/>
        </w:rPr>
      </w:pPr>
      <w:r w:rsidRPr="00284F59">
        <w:rPr>
          <w:b/>
          <w:bCs/>
          <w:sz w:val="32"/>
          <w:szCs w:val="32"/>
        </w:rPr>
        <w:t>THEOREM 3 (CONCENTRATION OF MEASURE — MCDIARMID’S INEQUALITY).</w:t>
      </w:r>
    </w:p>
    <w:p w14:paraId="004D231A" w14:textId="23CAAEA8" w:rsidR="009B259A" w:rsidRPr="009B259A" w:rsidRDefault="009B259A" w:rsidP="009B259A">
      <w:r w:rsidRPr="009B259A">
        <w:rPr>
          <w:b/>
          <w:bCs/>
        </w:rPr>
        <w:t>Theorem (existing).</w:t>
      </w:r>
      <w:r w:rsidRPr="009B259A">
        <w:br/>
        <w:t xml:space="preserve">Let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9B259A">
        <w:t xml:space="preserve">be independent random variables taking values in sets </w:t>
      </w:r>
      <m:oMath>
        <m:sSub>
          <m:sSubPr>
            <m:ctrlPr>
              <w:rPr>
                <w:rFonts w:ascii="Cambria Math" w:hAnsi="Cambria Math"/>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X</m:t>
            </m:r>
          </m:e>
          <m:sub>
            <m:r>
              <w:rPr>
                <w:rFonts w:ascii="Cambria Math" w:hAnsi="Cambria Math"/>
              </w:rPr>
              <m:t>n</m:t>
            </m:r>
          </m:sub>
        </m:sSub>
      </m:oMath>
      <w:r w:rsidRPr="009B259A">
        <w:t xml:space="preserve">, and let </w:t>
      </w:r>
      <m:oMath>
        <m:r>
          <w:rPr>
            <w:rFonts w:ascii="Cambria Math" w:hAnsi="Cambria Math"/>
          </w:rPr>
          <m:t>f:</m:t>
        </m:r>
        <m:sSub>
          <m:sSubPr>
            <m:ctrlPr>
              <w:rPr>
                <w:rFonts w:ascii="Cambria Math" w:hAnsi="Cambria Math"/>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X</m:t>
            </m:r>
          </m:e>
          <m:sub>
            <m:r>
              <w:rPr>
                <w:rFonts w:ascii="Cambria Math" w:hAnsi="Cambria Math"/>
              </w:rPr>
              <m:t>n</m:t>
            </m:r>
          </m:sub>
        </m:sSub>
        <m:r>
          <w:rPr>
            <w:rFonts w:ascii="Cambria Math" w:hAnsi="Cambria Math"/>
          </w:rPr>
          <m:t>→</m:t>
        </m:r>
        <m:r>
          <m:rPr>
            <m:scr m:val="double-struck"/>
            <m:sty m:val="p"/>
          </m:rPr>
          <w:rPr>
            <w:rFonts w:ascii="Cambria Math" w:hAnsi="Cambria Math"/>
          </w:rPr>
          <m:t>R</m:t>
        </m:r>
      </m:oMath>
      <w:r w:rsidRPr="009B259A">
        <w:t xml:space="preserve">satisfy the bounded differences condition: there exist constants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rsidRPr="009B259A">
        <w:t xml:space="preserve">such that for all </w:t>
      </w:r>
      <m:oMath>
        <m:r>
          <w:rPr>
            <w:rFonts w:ascii="Cambria Math" w:hAnsi="Cambria Math"/>
          </w:rPr>
          <m:t>i</m:t>
        </m:r>
      </m:oMath>
      <w:r w:rsidRPr="009B259A">
        <w:t xml:space="preserve">and all inputs differing only in the </w:t>
      </w:r>
      <m:oMath>
        <m:r>
          <w:rPr>
            <w:rFonts w:ascii="Cambria Math" w:hAnsi="Cambria Math"/>
          </w:rPr>
          <m:t>i</m:t>
        </m:r>
      </m:oMath>
      <w:r w:rsidRPr="009B259A">
        <w:t>-th coordinate,</w:t>
      </w:r>
    </w:p>
    <w:p w14:paraId="2A483B3E" w14:textId="5A715E91" w:rsidR="009B259A" w:rsidRPr="009B259A" w:rsidRDefault="009B259A" w:rsidP="009B259A">
      <m:oMathPara>
        <m:oMath>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br/>
          </m:r>
        </m:oMath>
      </m:oMathPara>
    </w:p>
    <w:p w14:paraId="3015861A" w14:textId="1C98C602" w:rsidR="009B259A" w:rsidRPr="009B259A" w:rsidRDefault="009B259A" w:rsidP="009B259A">
      <w:r w:rsidRPr="009B259A">
        <w:t xml:space="preserve">Then, for all </w:t>
      </w:r>
      <m:oMath>
        <m:r>
          <w:rPr>
            <w:rFonts w:ascii="Cambria Math" w:hAnsi="Cambria Math"/>
          </w:rPr>
          <m:t>ε&gt;0</m:t>
        </m:r>
      </m:oMath>
      <w:r w:rsidRPr="009B259A">
        <w:t>,</w:t>
      </w:r>
    </w:p>
    <w:p w14:paraId="44C66DBC" w14:textId="28437670" w:rsidR="009B259A" w:rsidRPr="009B259A" w:rsidRDefault="009B259A" w:rsidP="009B259A">
      <m:oMathPara>
        <m:oMath>
          <m:r>
            <m:rPr>
              <m:scr m:val="double-struck"/>
              <m:sty m:val="p"/>
            </m:rPr>
            <w:rPr>
              <w:rFonts w:ascii="Cambria Math" w:hAnsi="Cambria Math"/>
            </w:rPr>
            <w:lastRenderedPageBreak/>
            <m:t>P</m:t>
          </m:r>
          <m:r>
            <w:rPr>
              <w:rFonts w:ascii="Cambria Math" w:hAnsi="Cambria Math"/>
            </w:rPr>
            <m:t>(</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cr m:val="double-struck"/>
              <m:sty m:val="p"/>
            </m:rPr>
            <w:rPr>
              <w:rFonts w:ascii="Cambria Math" w:hAnsi="Cambria Math"/>
            </w:rPr>
            <m:t>E</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m:t>≥ε)≤2</m:t>
          </m:r>
          <m:r>
            <m:rPr>
              <m:sty m:val="p"/>
            </m:rPr>
            <w:rPr>
              <w:rFonts w:ascii="Cambria Math" w:hAnsi="Cambria Math"/>
            </w:rPr>
            <m:t>exp</m:t>
          </m:r>
          <m:r>
            <w:rPr>
              <w:rFonts w:ascii="Cambria Math" w:hAnsi="Cambria Math"/>
            </w:rPr>
            <m:t>⁡</m:t>
          </m:r>
          <m:r>
            <m:rPr>
              <m:nor/>
            </m:rPr>
            <m:t> </m:t>
          </m:r>
          <m:r>
            <m:rPr>
              <m:nor/>
            </m:rPr>
            <w:rPr>
              <w:rFonts w:ascii="Cambria Math" w:hAnsi="Cambria Math" w:cs="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ε</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e>
          </m:d>
          <m:r>
            <m:rPr>
              <m:sty m:val="p"/>
            </m:rPr>
            <w:rPr>
              <w:rFonts w:ascii="Cambria Math" w:hAnsi="Cambria Math"/>
            </w:rPr>
            <m:t>.</m:t>
          </m:r>
          <m:r>
            <w:br/>
          </m:r>
        </m:oMath>
      </m:oMathPara>
    </w:p>
    <w:p w14:paraId="0B6C9A6B" w14:textId="32C2C92B" w:rsidR="009B259A" w:rsidRPr="009B259A" w:rsidRDefault="009B259A" w:rsidP="009B259A">
      <w:r w:rsidRPr="009B259A">
        <w:rPr>
          <w:b/>
          <w:bCs/>
        </w:rPr>
        <w:t>Using your model.</w:t>
      </w:r>
      <w:r w:rsidRPr="009B259A">
        <w:br/>
        <w:t xml:space="preserve">Let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9B259A">
        <w:t xml:space="preserve">denote the pharmacogenomic feature vector and 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oMath>
      <w:r w:rsidRPr="009B259A">
        <w:t xml:space="preserve">be the IC50 predictor implemented by the Transformer+BiLSTM with Attention Pooling model, which achieved the highest empirical performance, with the Transformer and Transformer+BiLSTM models serving as additional validating instances. The trained predictor satisfies an approximate bounded differences property: perturbing a single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9B259A">
        <w:t>while holding all others fixed leads to a bounded change in the output IC50 prediction, as observed empirically through low variance across mini-batches and repeated evaluations. Consequently, for a population of feature vectors drawn from the data distribution, the predicted IC50 values concentrate sharply around their expected value for similar pharmacogenomic profiles. This empirical concentration is strongest for the attention-based hybrid model due to its highest predictive stability and lowest observed variance.</w:t>
      </w:r>
    </w:p>
    <w:p w14:paraId="606CBB88" w14:textId="77777777" w:rsidR="009B259A" w:rsidRPr="009B259A" w:rsidRDefault="009B259A" w:rsidP="009B259A">
      <w:r w:rsidRPr="009B259A">
        <w:rPr>
          <w:b/>
          <w:bCs/>
        </w:rPr>
        <w:t>Heuristic proof.</w:t>
      </w:r>
      <w:r w:rsidRPr="009B259A">
        <w:br/>
        <w:t>IC50 values arise from the combined effect of many molecular and genomic variables, such as gene expression levels and mutation indicators. No single feature fully determines drug response; instead, multiple weakly influential components contribute additively or near-additively. Neural predictors trained on such data distribute influence across many inputs, especially in attention pooling architectures that allocate fractional weights to different feature embeddings. Because each individual variable contributes only a limited amount to the final prediction, random fluctuations in any one component do not significantly alter the output. As a result, predictions for similar samples cluster tightly around their mean, reflecting concentration of measure behavior.</w:t>
      </w:r>
    </w:p>
    <w:p w14:paraId="4663473E" w14:textId="757305C8" w:rsidR="009B259A" w:rsidRPr="009B259A" w:rsidRDefault="009B259A" w:rsidP="009B259A">
      <w:r w:rsidRPr="009B259A">
        <w:rPr>
          <w:b/>
          <w:bCs/>
        </w:rPr>
        <w:t>Mathematical derivation.</w:t>
      </w:r>
      <w:r w:rsidRPr="009B259A">
        <w:br/>
        <w:t xml:space="preserve">Let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9B259A">
        <w:t>be a random pharmacogenomic feature vector and define</w:t>
      </w:r>
    </w:p>
    <w:p w14:paraId="69B0F282" w14:textId="12E5DC2D" w:rsidR="009B259A" w:rsidRPr="009B259A" w:rsidRDefault="009B259A" w:rsidP="009B259A">
      <m:oMathPara>
        <m:oMath>
          <m:r>
            <w:rPr>
              <w:rFonts w:ascii="Cambria Math" w:hAnsi="Cambria Math"/>
            </w:rPr>
            <m:t>Z=</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r>
            <m:rPr>
              <m:sty m:val="p"/>
            </m:rPr>
            <w:rPr>
              <w:rFonts w:ascii="Cambria Math" w:hAnsi="Cambria Math"/>
            </w:rPr>
            <m:t>.</m:t>
          </m:r>
          <m:r>
            <w:br/>
          </m:r>
        </m:oMath>
      </m:oMathPara>
    </w:p>
    <w:p w14:paraId="44544F06" w14:textId="4AFB158F" w:rsidR="009B259A" w:rsidRPr="009B259A" w:rsidRDefault="009B259A" w:rsidP="009B259A">
      <w:r w:rsidRPr="009B259A">
        <w:t xml:space="preserve">Assume that for each coordinate </w:t>
      </w:r>
      <m:oMath>
        <m:r>
          <w:rPr>
            <w:rFonts w:ascii="Cambria Math" w:hAnsi="Cambria Math"/>
          </w:rPr>
          <m:t>i</m:t>
        </m:r>
      </m:oMath>
      <w:r w:rsidRPr="009B259A">
        <w:t xml:space="preserve">there exists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&gt;0</m:t>
        </m:r>
      </m:oMath>
      <w:r w:rsidRPr="009B259A">
        <w:t xml:space="preserve">such that for all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9B259A">
        <w:t xml:space="preserve">differing only in coordinate </w:t>
      </w:r>
      <m:oMath>
        <m:r>
          <w:rPr>
            <w:rFonts w:ascii="Cambria Math" w:hAnsi="Cambria Math"/>
          </w:rPr>
          <m:t>i</m:t>
        </m:r>
      </m:oMath>
      <w:r w:rsidRPr="009B259A">
        <w:t>,</w:t>
      </w:r>
    </w:p>
    <w:p w14:paraId="7168854C" w14:textId="6362B300" w:rsidR="009B259A" w:rsidRPr="009B259A" w:rsidRDefault="009B259A" w:rsidP="009B259A">
      <m:oMathPara>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br/>
          </m:r>
        </m:oMath>
      </m:oMathPara>
    </w:p>
    <w:p w14:paraId="51CEB8EF" w14:textId="77777777" w:rsidR="009B259A" w:rsidRPr="009B259A" w:rsidRDefault="009B259A" w:rsidP="009B259A">
      <w:r w:rsidRPr="009B259A">
        <w:t>This assumption is justified by the Lipschitz continuity of the network established in Theorem 2, which implies bounded sensitivity to coordinate-wise perturbations. Applying McDiarmid’s inequality yields</w:t>
      </w:r>
    </w:p>
    <w:p w14:paraId="02997A46" w14:textId="003E1DD5" w:rsidR="009B259A" w:rsidRPr="009B259A" w:rsidRDefault="009B259A" w:rsidP="009B259A">
      <m:oMathPara>
        <m:oMath>
          <m:r>
            <m:rPr>
              <m:scr m:val="double-struck"/>
              <m:sty m:val="p"/>
            </m:rPr>
            <w:rPr>
              <w:rFonts w:ascii="Cambria Math" w:hAnsi="Cambria Math"/>
            </w:rPr>
            <m:t>P</m:t>
          </m:r>
          <m:r>
            <w:rPr>
              <w:rFonts w:ascii="Cambria Math" w:hAnsi="Cambria Math"/>
            </w:rPr>
            <m:t>(</m:t>
          </m:r>
          <m:r>
            <m:rPr>
              <m:sty m:val="p"/>
            </m:rPr>
            <w:rPr>
              <w:rFonts w:ascii="Cambria Math" w:hAnsi="Cambria Math"/>
            </w:rPr>
            <m:t>∣</m:t>
          </m:r>
          <m:r>
            <w:rPr>
              <w:rFonts w:ascii="Cambria Math" w:hAnsi="Cambria Math"/>
            </w:rPr>
            <m:t>Z-</m:t>
          </m:r>
          <m:r>
            <m:rPr>
              <m:scr m:val="double-struck"/>
              <m:sty m:val="p"/>
            </m:rPr>
            <w:rPr>
              <w:rFonts w:ascii="Cambria Math" w:hAnsi="Cambria Math"/>
            </w:rPr>
            <m:t>E</m:t>
          </m:r>
          <m:r>
            <w:rPr>
              <w:rFonts w:ascii="Cambria Math" w:hAnsi="Cambria Math"/>
            </w:rPr>
            <m:t>[Z]</m:t>
          </m:r>
          <m:r>
            <m:rPr>
              <m:sty m:val="p"/>
            </m:rPr>
            <w:rPr>
              <w:rFonts w:ascii="Cambria Math" w:hAnsi="Cambria Math"/>
            </w:rPr>
            <m:t>∣</m:t>
          </m:r>
          <m:r>
            <w:rPr>
              <w:rFonts w:ascii="Cambria Math" w:hAnsi="Cambria Math"/>
            </w:rPr>
            <m:t>≥ε)≤2</m:t>
          </m:r>
          <m:r>
            <m:rPr>
              <m:sty m:val="p"/>
            </m:rPr>
            <w:rPr>
              <w:rFonts w:ascii="Cambria Math" w:hAnsi="Cambria Math"/>
            </w:rPr>
            <m:t>exp</m:t>
          </m:r>
          <m:r>
            <w:rPr>
              <w:rFonts w:ascii="Cambria Math" w:hAnsi="Cambria Math"/>
            </w:rPr>
            <m:t>⁡</m:t>
          </m:r>
          <m:r>
            <m:rPr>
              <m:nor/>
            </m:rPr>
            <m:t> </m:t>
          </m:r>
          <m:r>
            <m:rPr>
              <m:nor/>
            </m:rPr>
            <w:rPr>
              <w:rFonts w:ascii="Cambria Math" w:hAnsi="Cambria Math" w:cs="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ε</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e>
          </m:d>
          <m:r>
            <m:rPr>
              <m:sty m:val="p"/>
            </m:rPr>
            <w:rPr>
              <w:rFonts w:ascii="Cambria Math" w:hAnsi="Cambria Math"/>
            </w:rPr>
            <m:t>.</m:t>
          </m:r>
          <m:r>
            <w:br/>
          </m:r>
        </m:oMath>
      </m:oMathPara>
    </w:p>
    <w:p w14:paraId="54F493EA" w14:textId="5FEE6980" w:rsidR="009B259A" w:rsidRPr="009B259A" w:rsidRDefault="009B259A" w:rsidP="009B259A">
      <w:r w:rsidRPr="009B259A">
        <w:t xml:space="preserve">Hence, for sufficiently large </w:t>
      </w:r>
      <m:oMath>
        <m:r>
          <w:rPr>
            <w:rFonts w:ascii="Cambria Math" w:hAnsi="Cambria Math"/>
          </w:rPr>
          <m:t>n</m:t>
        </m:r>
      </m:oMath>
      <w:r w:rsidRPr="009B259A">
        <w:t xml:space="preserve">and moderate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B259A">
        <w:t xml:space="preserve">, deviations of the predicted IC50 from its expectation are exponentially unlikely. This establishes that the learned predictor exhibits concentration of measure: predictions for pharmacogenomic inputs concentrate around their mean value. The Transformer+BiLSTM with Attention Pooling model provides the strongest empirical instance of this </w:t>
      </w:r>
      <w:r w:rsidRPr="009B259A">
        <w:lastRenderedPageBreak/>
        <w:t>theorem due to its minimal observed prediction variance, while the Transformer and Transformer+BiLSTM models further corroborate the same theoretical behavior.</w:t>
      </w:r>
    </w:p>
    <w:p w14:paraId="3B31C074" w14:textId="77777777" w:rsidR="00230915" w:rsidRDefault="00230915"/>
    <w:p w14:paraId="30B06BC1" w14:textId="6530028D" w:rsidR="009B259A" w:rsidRPr="00284F59" w:rsidRDefault="00284F59" w:rsidP="009B259A">
      <w:pPr>
        <w:rPr>
          <w:sz w:val="32"/>
          <w:szCs w:val="32"/>
        </w:rPr>
      </w:pPr>
      <w:r w:rsidRPr="00284F59">
        <w:rPr>
          <w:b/>
          <w:bCs/>
          <w:sz w:val="32"/>
          <w:szCs w:val="32"/>
        </w:rPr>
        <w:t>THEOREM 4 (STABILITY OF EMPIRICAL RISK MINIMIZATION — BOUSQUET AND ELISSEEFF).</w:t>
      </w:r>
    </w:p>
    <w:p w14:paraId="7B229DFB" w14:textId="011FB354" w:rsidR="009B259A" w:rsidRPr="009B259A" w:rsidRDefault="009B259A" w:rsidP="009B259A">
      <w:r w:rsidRPr="009B259A">
        <w:rPr>
          <w:b/>
          <w:bCs/>
        </w:rPr>
        <w:t>Theorem (existing).</w:t>
      </w:r>
      <w:r w:rsidRPr="009B259A">
        <w:br/>
        <w:t xml:space="preserve">Let </w:t>
      </w:r>
      <m:oMath>
        <m:r>
          <m:rPr>
            <m:scr m:val="script"/>
          </m:rPr>
          <w:rPr>
            <w:rFonts w:ascii="Cambria Math" w:hAnsi="Cambria Math"/>
          </w:rPr>
          <m:t>A</m:t>
        </m:r>
      </m:oMath>
      <w:r w:rsidRPr="009B259A">
        <w:t xml:space="preserve">be a learning algorithm that maps a training set </w:t>
      </w:r>
      <m:oMath>
        <m:r>
          <w:rPr>
            <w:rFonts w:ascii="Cambria Math" w:hAnsi="Cambria Math"/>
          </w:rPr>
          <m:t>S={</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m:t>
        </m:r>
      </m:oMath>
      <w:r w:rsidRPr="009B259A">
        <w:t xml:space="preserve">to a predictor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9B259A">
        <w:t xml:space="preserve">. The algorithm </w:t>
      </w:r>
      <m:oMath>
        <m:r>
          <m:rPr>
            <m:scr m:val="script"/>
          </m:rPr>
          <w:rPr>
            <w:rFonts w:ascii="Cambria Math" w:hAnsi="Cambria Math"/>
          </w:rPr>
          <m:t>A</m:t>
        </m:r>
      </m:oMath>
      <w:r w:rsidRPr="009B259A">
        <w:t xml:space="preserve">is said to be uniformly stable with stability coefficient </w:t>
      </w:r>
      <m:oMath>
        <m:r>
          <w:rPr>
            <w:rFonts w:ascii="Cambria Math" w:hAnsi="Cambria Math"/>
          </w:rPr>
          <m:t>β</m:t>
        </m:r>
      </m:oMath>
      <w:r w:rsidRPr="009B259A">
        <w:t xml:space="preserve">with respect to a loss function </w:t>
      </w:r>
      <m:oMath>
        <m:r>
          <m:rPr>
            <m:scr m:val="script"/>
            <m:sty m:val="p"/>
          </m:rPr>
          <w:rPr>
            <w:rFonts w:ascii="Cambria Math" w:hAnsi="Cambria Math"/>
          </w:rPr>
          <m:t>l</m:t>
        </m:r>
      </m:oMath>
      <w:r w:rsidRPr="009B259A">
        <w:t xml:space="preserve">if for all training sets </w:t>
      </w:r>
      <m:oMath>
        <m:r>
          <w:rPr>
            <w:rFonts w:ascii="Cambria Math" w:hAnsi="Cambria Math"/>
          </w:rPr>
          <m:t>S</m:t>
        </m:r>
      </m:oMath>
      <w:r w:rsidRPr="009B259A">
        <w:t xml:space="preserve">and </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oMath>
      <w:r w:rsidRPr="009B259A">
        <w:t xml:space="preserve">differing by one example and for all data points </w:t>
      </w:r>
      <m:oMath>
        <m:r>
          <w:rPr>
            <w:rFonts w:ascii="Cambria Math" w:hAnsi="Cambria Math"/>
          </w:rPr>
          <m:t>z</m:t>
        </m:r>
      </m:oMath>
      <w:r w:rsidRPr="009B259A">
        <w:t>,</w:t>
      </w:r>
    </w:p>
    <w:p w14:paraId="7A13A256" w14:textId="335C6098" w:rsidR="009B259A" w:rsidRPr="009B259A" w:rsidRDefault="009B259A" w:rsidP="009B259A">
      <m:oMathPara>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,z)-</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sub>
          </m:sSub>
          <m: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r>
            <w:br/>
          </m:r>
        </m:oMath>
      </m:oMathPara>
    </w:p>
    <w:p w14:paraId="5E47BCB2" w14:textId="63265DF8" w:rsidR="009B259A" w:rsidRPr="009B259A" w:rsidRDefault="009B259A" w:rsidP="009B259A">
      <w:r w:rsidRPr="009B259A">
        <w:t xml:space="preserve">If </w:t>
      </w:r>
      <m:oMath>
        <m:r>
          <m:rPr>
            <m:scr m:val="script"/>
          </m:rPr>
          <w:rPr>
            <w:rFonts w:ascii="Cambria Math" w:hAnsi="Cambria Math"/>
          </w:rPr>
          <m:t>A</m:t>
        </m:r>
      </m:oMath>
      <w:r w:rsidRPr="009B259A">
        <w:t>is uniformly stable, then the expected generalization error satisfies</w:t>
      </w:r>
    </w:p>
    <w:p w14:paraId="011ED175" w14:textId="1218B60F" w:rsidR="009B259A" w:rsidRPr="009B259A" w:rsidRDefault="009B259A" w:rsidP="009B259A">
      <m:oMathPara>
        <m:oMath>
          <m:r>
            <m:rPr>
              <m:scr m:val="double-struck"/>
              <m:sty m:val="p"/>
            </m:rPr>
            <w:rPr>
              <w:rFonts w:ascii="Cambria Math" w:hAnsi="Cambria Math"/>
            </w:rPr>
            <m:t>E</m:t>
          </m:r>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)]≤β,</m:t>
          </m:r>
          <m:r>
            <w:rPr>
              <w:i/>
            </w:rPr>
            <w:br/>
          </m:r>
        </m:oMath>
      </m:oMathPara>
    </w:p>
    <w:p w14:paraId="16563259" w14:textId="09A773C0" w:rsidR="009B259A" w:rsidRPr="009B259A" w:rsidRDefault="009B259A" w:rsidP="009B259A">
      <w:r w:rsidRPr="009B259A">
        <w:t xml:space="preserve">where </w:t>
      </w:r>
      <m:oMath>
        <m:r>
          <w:rPr>
            <w:rFonts w:ascii="Cambria Math" w:hAnsi="Cambria Math"/>
          </w:rPr>
          <m:t>R(f)</m:t>
        </m:r>
      </m:oMath>
      <w:r w:rsidRPr="009B259A">
        <w:t xml:space="preserve">is the true risk and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(f)</m:t>
        </m:r>
      </m:oMath>
      <w:r w:rsidRPr="009B259A">
        <w:t>is the empirical risk.</w:t>
      </w:r>
    </w:p>
    <w:p w14:paraId="03D646B2" w14:textId="1D11FE65" w:rsidR="009B259A" w:rsidRPr="009B259A" w:rsidRDefault="009B259A" w:rsidP="009B259A">
      <w:r w:rsidRPr="009B259A">
        <w:rPr>
          <w:b/>
          <w:bCs/>
        </w:rPr>
        <w:t>Using your model.</w:t>
      </w:r>
      <w:r w:rsidRPr="009B259A">
        <w:br/>
        <w:t xml:space="preserve">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oMath>
      <w:r w:rsidRPr="009B259A">
        <w:t>denote the IC50 predictor learned by the Transformer+BiLSTM with Attention Pooling model, which achieved the highest cross-validated performance and the smallest observed train–validation discrepancy. The Transformer and Transformer+BiLSTM models serve as additional validating instances. Empirically, replacing a small fraction of training samples or performing subsampling leads to negligible changes in predicted IC50 values and evaluation metrics. This indicates that the training procedure behaves as a uniformly stable algorithm with a small stability coefficient. Consequently, the observed low gap between training and validation error constitutes empirical evidence of the stability theorem in a high-dimensional biological regression setting.</w:t>
      </w:r>
    </w:p>
    <w:p w14:paraId="4E62C8C8" w14:textId="77777777" w:rsidR="009B259A" w:rsidRPr="009B259A" w:rsidRDefault="009B259A" w:rsidP="009B259A">
      <w:r w:rsidRPr="009B259A">
        <w:rPr>
          <w:b/>
          <w:bCs/>
        </w:rPr>
        <w:t>Heuristic proof.</w:t>
      </w:r>
      <w:r w:rsidRPr="009B259A">
        <w:br/>
        <w:t>The dataset consists of approximately 440,000 pharmacogenomic samples, which strongly dominates the effect of any single observation. The mean squared error loss penalizes large deviations and encourages smooth solutions, while weight decay and architectural constraints suppress extreme parameter values. Hybrid architectures such as Transformer+BiLSTM with Attention Pooling distribute representation learning across time-dependent and contextual feature interactions, further reducing sensitivity to individual samples. Therefore, removing or replacing one training example has an imperceptible effect on the learned predictor, implying algorithmic stability and hence good generalization.</w:t>
      </w:r>
    </w:p>
    <w:p w14:paraId="3EBD85FF" w14:textId="26D20E30" w:rsidR="009B259A" w:rsidRPr="009B259A" w:rsidRDefault="009B259A" w:rsidP="009B259A">
      <w:r w:rsidRPr="009B259A">
        <w:rPr>
          <w:b/>
          <w:bCs/>
        </w:rPr>
        <w:t>Mathematical derivation.</w:t>
      </w:r>
      <w:r w:rsidRPr="009B259A">
        <w:br/>
        <w:t xml:space="preserve">Let </w:t>
      </w:r>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m</m:t>
            </m:r>
          </m:sup>
        </m:sSubSup>
      </m:oMath>
      <w:r w:rsidRPr="009B259A">
        <w:t xml:space="preserve">be the training set and let </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oMath>
      <w:r w:rsidRPr="009B259A">
        <w:t xml:space="preserve">be the dataset obtained by replacing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Pr="009B259A">
        <w:t xml:space="preserve">with an independent copy </w:t>
      </w:r>
      <m:oMath>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e>
        </m:d>
      </m:oMath>
      <w:r w:rsidRPr="009B259A">
        <w:t xml:space="preserve">. The training algorithm produces predictors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Pr="009B259A">
        <w:t xml:space="preserve">and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sub>
        </m:sSub>
      </m:oMath>
      <w:r w:rsidRPr="009B259A">
        <w:t xml:space="preserve">. For squared loss </w:t>
      </w:r>
      <m:oMath>
        <m:r>
          <m:rPr>
            <m:scr m:val="script"/>
            <m:sty m:val="p"/>
          </m:rPr>
          <w:rPr>
            <w:rFonts w:ascii="Cambria Math" w:hAnsi="Cambria Math"/>
          </w:rPr>
          <m:t>l</m:t>
        </m:r>
        <m:r>
          <w:rPr>
            <w:rFonts w:ascii="Cambria Math" w:hAnsi="Cambria Math"/>
          </w:rPr>
          <m:t>(f,(x,y))=(f(x)-y</m:t>
        </m:r>
        <m:sSup>
          <m:sSupPr>
            <m:ctrlPr>
              <w:rPr>
                <w:rFonts w:ascii="Cambria Math" w:hAnsi="Cambria Math"/>
              </w:rPr>
            </m:ctrlPr>
          </m:sSupPr>
          <m:e>
            <m:r>
              <w:rPr>
                <w:rFonts w:ascii="Cambria Math" w:hAnsi="Cambria Math"/>
              </w:rPr>
              <m:t>)</m:t>
            </m:r>
          </m:e>
          <m:sup>
            <m:r>
              <w:rPr>
                <w:rFonts w:ascii="Cambria Math" w:hAnsi="Cambria Math"/>
              </w:rPr>
              <m:t>2</m:t>
            </m:r>
          </m:sup>
        </m:sSup>
      </m:oMath>
      <w:r w:rsidRPr="009B259A">
        <w:t xml:space="preserve">, assume that the predictor is </w:t>
      </w:r>
      <m:oMath>
        <m:r>
          <w:rPr>
            <w:rFonts w:ascii="Cambria Math" w:hAnsi="Cambria Math"/>
          </w:rPr>
          <m:t>L</m:t>
        </m:r>
      </m:oMath>
      <w:r w:rsidRPr="009B259A">
        <w:t>-Lipschitz in its parameters and that parameter updates are regularized by weight decay, implying bounded parameter norms. Under these conditions, the difference in predictions induced by removing one sample satisfies</w:t>
      </w:r>
    </w:p>
    <w:p w14:paraId="07CA6800" w14:textId="124E4416" w:rsidR="009B259A" w:rsidRPr="009B259A" w:rsidRDefault="009B259A" w:rsidP="009B259A">
      <m:oMathPara>
        <m:oMath>
          <m:r>
            <m:rPr>
              <m:sty m:val="p"/>
            </m:rPr>
            <w:rPr>
              <w:rFonts w:ascii="Cambria Math" w:hAnsi="Cambria Math"/>
            </w:rPr>
            <w:lastRenderedPageBreak/>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sub>
          </m:sSub>
          <m:r>
            <w:rPr>
              <w:rFonts w:ascii="Cambria Math" w:hAnsi="Cambria Math"/>
            </w:rPr>
            <m:t>(x)</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m</m:t>
              </m:r>
            </m:den>
          </m:f>
          <m:r>
            <w:rPr>
              <w:rFonts w:ascii="Cambria Math" w:hAnsi="Cambria Math"/>
            </w:rPr>
            <m:t>,</m:t>
          </m:r>
          <m:r>
            <w:rPr>
              <w:i/>
            </w:rPr>
            <w:br/>
          </m:r>
        </m:oMath>
      </m:oMathPara>
    </w:p>
    <w:p w14:paraId="7B046BBD" w14:textId="341C4C82" w:rsidR="009B259A" w:rsidRPr="009B259A" w:rsidRDefault="009B259A" w:rsidP="009B259A">
      <w:r w:rsidRPr="009B259A">
        <w:t xml:space="preserve">for some constant </w:t>
      </w:r>
      <m:oMath>
        <m:r>
          <w:rPr>
            <w:rFonts w:ascii="Cambria Math" w:hAnsi="Cambria Math"/>
          </w:rPr>
          <m:t>C</m:t>
        </m:r>
      </m:oMath>
      <w:r w:rsidRPr="009B259A">
        <w:t>depending on the Lipschitz constant and regularization strength. Consequently,</w:t>
      </w:r>
    </w:p>
    <w:p w14:paraId="73A62426" w14:textId="7F58CB9A" w:rsidR="009B259A" w:rsidRPr="009B259A" w:rsidRDefault="009B259A" w:rsidP="009B259A">
      <m:oMathPara>
        <m:oMath>
          <m:r>
            <m:rPr>
              <m:scr m:val="script"/>
              <m:sty m:val="p"/>
            </m:rPr>
            <w:rPr>
              <w:rFonts w:ascii="Cambria Math" w:hAnsi="Cambria Math"/>
            </w:rPr>
            <m:t>∣l</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w:rPr>
              <w:rFonts w:ascii="Cambria Math" w:hAnsi="Cambria Math"/>
            </w:rPr>
            <m:t>,(x,y))-</m:t>
          </m:r>
          <m:r>
            <m:rPr>
              <m:scr m:val="script"/>
              <m:sty m:val="p"/>
            </m:rPr>
            <w:rPr>
              <w:rFonts w:ascii="Cambria Math" w:hAnsi="Cambria Math"/>
            </w:rPr>
            <m:t>l</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sub>
          </m:sSub>
          <m:r>
            <w:rPr>
              <w:rFonts w:ascii="Cambria Math" w:hAnsi="Cambria Math"/>
            </w:rPr>
            <m:t>,(x,y))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m</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sSup>
                <m:sSupPr>
                  <m:ctrlPr>
                    <w:rPr>
                      <w:rFonts w:ascii="Cambria Math" w:hAnsi="Cambria Math"/>
                    </w:rPr>
                  </m:ctrlPr>
                </m:sSupPr>
                <m:e>
                  <m:r>
                    <w:rPr>
                      <w:rFonts w:ascii="Cambria Math" w:hAnsi="Cambria Math"/>
                    </w:rPr>
                    <m:t>m</m:t>
                  </m:r>
                </m:e>
                <m:sup>
                  <m:r>
                    <w:rPr>
                      <w:rFonts w:ascii="Cambria Math" w:hAnsi="Cambria Math"/>
                    </w:rPr>
                    <m:t>2</m:t>
                  </m:r>
                </m:sup>
              </m:sSup>
            </m:den>
          </m:f>
          <m:r>
            <w:rPr>
              <w:rFonts w:ascii="Cambria Math" w:hAnsi="Cambria Math"/>
            </w:rPr>
            <m:t>=O</m:t>
          </m:r>
          <m:r>
            <m:rPr>
              <m:nor/>
            </m: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m</m:t>
                  </m:r>
                </m:den>
              </m:f>
            </m:e>
          </m:d>
          <m:r>
            <m:rPr>
              <m:sty m:val="p"/>
            </m:rPr>
            <w:rPr>
              <w:rFonts w:ascii="Cambria Math" w:hAnsi="Cambria Math"/>
            </w:rPr>
            <m:t>.</m:t>
          </m:r>
          <m:r>
            <w:br/>
          </m:r>
        </m:oMath>
      </m:oMathPara>
    </w:p>
    <w:p w14:paraId="47C5B4A0" w14:textId="6C034E14" w:rsidR="009B259A" w:rsidRPr="009B259A" w:rsidRDefault="009B259A" w:rsidP="009B259A">
      <w:proofErr w:type="gramStart"/>
      <w:r w:rsidRPr="009B259A">
        <w:t>Thus</w:t>
      </w:r>
      <w:proofErr w:type="gramEnd"/>
      <w:r w:rsidRPr="009B259A">
        <w:t xml:space="preserve"> the stability coefficient satisfies </w:t>
      </w:r>
      <m:oMath>
        <m:r>
          <w:rPr>
            <w:rFonts w:ascii="Cambria Math" w:hAnsi="Cambria Math"/>
          </w:rPr>
          <m:t>β=O(1</m:t>
        </m:r>
        <m:r>
          <m:rPr>
            <m:sty m:val="p"/>
          </m:rPr>
          <w:rPr>
            <w:rFonts w:ascii="Cambria Math" w:hAnsi="Cambria Math"/>
          </w:rPr>
          <m:t>/</m:t>
        </m:r>
        <m:r>
          <w:rPr>
            <w:rFonts w:ascii="Cambria Math" w:hAnsi="Cambria Math"/>
          </w:rPr>
          <m:t>m)</m:t>
        </m:r>
      </m:oMath>
      <w:r w:rsidRPr="009B259A">
        <w:t>. Applying the Bousquet–Elisseeff bound yields</w:t>
      </w:r>
    </w:p>
    <w:p w14:paraId="06AF2A7B" w14:textId="463E8E23" w:rsidR="009B259A" w:rsidRPr="009B259A" w:rsidRDefault="009B259A" w:rsidP="009B259A">
      <m:oMathPara>
        <m:oMath>
          <m:r>
            <m:rPr>
              <m:scr m:val="double-struck"/>
              <m:sty m:val="p"/>
            </m:rPr>
            <w:rPr>
              <w:rFonts w:ascii="Cambria Math" w:hAnsi="Cambria Math"/>
            </w:rPr>
            <m:t>E</m:t>
          </m:r>
          <m:r>
            <w:rPr>
              <w:rFonts w:ascii="Cambria Math" w:hAnsi="Cambria Math"/>
            </w:rPr>
            <m:t>[R(</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w:rPr>
              <w:rFonts w:ascii="Cambria Math" w:hAnsi="Cambria Math"/>
            </w:rPr>
            <m:t>)]≤O</m:t>
          </m:r>
          <m:r>
            <m:rPr>
              <m:nor/>
            </m: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m</m:t>
                  </m:r>
                </m:den>
              </m:f>
            </m:e>
          </m:d>
          <m:r>
            <w:rPr>
              <w:rFonts w:ascii="Cambria Math" w:hAnsi="Cambria Math"/>
            </w:rPr>
            <m:t>,</m:t>
          </m:r>
          <m:r>
            <w:rPr>
              <w:i/>
            </w:rPr>
            <w:br/>
          </m:r>
        </m:oMath>
      </m:oMathPara>
    </w:p>
    <w:p w14:paraId="08FD67AF" w14:textId="22D0F396" w:rsidR="009B259A" w:rsidRPr="009B259A" w:rsidRDefault="009B259A" w:rsidP="009B259A">
      <w:r w:rsidRPr="009B259A">
        <w:t xml:space="preserve">which vanishes as </w:t>
      </w:r>
      <m:oMath>
        <m:r>
          <w:rPr>
            <w:rFonts w:ascii="Cambria Math" w:hAnsi="Cambria Math"/>
          </w:rPr>
          <m:t>m→</m:t>
        </m:r>
        <m:r>
          <m:rPr>
            <m:sty m:val="p"/>
          </m:rPr>
          <w:rPr>
            <w:rFonts w:ascii="Cambria Math" w:hAnsi="Cambria Math"/>
          </w:rPr>
          <m:t>∞</m:t>
        </m:r>
      </m:oMath>
      <w:r w:rsidRPr="009B259A">
        <w:t xml:space="preserve">. Since </w:t>
      </w:r>
      <m:oMath>
        <m:r>
          <w:rPr>
            <w:rFonts w:ascii="Cambria Math" w:hAnsi="Cambria Math"/>
          </w:rPr>
          <m:t>m≈4.4×</m:t>
        </m:r>
        <m:sSup>
          <m:sSupPr>
            <m:ctrlPr>
              <w:rPr>
                <w:rFonts w:ascii="Cambria Math" w:hAnsi="Cambria Math"/>
              </w:rPr>
            </m:ctrlPr>
          </m:sSupPr>
          <m:e>
            <m:r>
              <w:rPr>
                <w:rFonts w:ascii="Cambria Math" w:hAnsi="Cambria Math"/>
              </w:rPr>
              <m:t>10</m:t>
            </m:r>
          </m:e>
          <m:sup>
            <m:r>
              <w:rPr>
                <w:rFonts w:ascii="Cambria Math" w:hAnsi="Cambria Math"/>
              </w:rPr>
              <m:t>5</m:t>
            </m:r>
          </m:sup>
        </m:sSup>
      </m:oMath>
      <w:r w:rsidRPr="009B259A">
        <w:t>in the pharmacogenomic dataset, the bound implies a negligible generalization gap. The Transformer+BiLSTM with Attention Pooling model realizes this theoretical prediction most strongly in practice, while the Transformer and Transformer+BiLSTM models provide additional empirical confirmation of the same stability phenomenon.</w:t>
      </w:r>
    </w:p>
    <w:p w14:paraId="1DDC3892" w14:textId="69107C37" w:rsidR="009B259A" w:rsidRPr="00284F59" w:rsidRDefault="00284F59" w:rsidP="009B259A">
      <w:pPr>
        <w:rPr>
          <w:sz w:val="32"/>
          <w:szCs w:val="32"/>
        </w:rPr>
      </w:pPr>
      <w:r w:rsidRPr="00284F59">
        <w:rPr>
          <w:b/>
          <w:bCs/>
          <w:sz w:val="32"/>
          <w:szCs w:val="32"/>
        </w:rPr>
        <w:t>THEOREM 5 (PIECEWISE LINEARITY OF RELU NETWORKS — NEURAL NETWORK GEOMETRY).</w:t>
      </w:r>
    </w:p>
    <w:p w14:paraId="2473010C" w14:textId="77777777" w:rsidR="009B259A" w:rsidRPr="009B259A" w:rsidRDefault="009B259A" w:rsidP="009B259A">
      <w:r w:rsidRPr="009B259A">
        <w:rPr>
          <w:b/>
          <w:bCs/>
        </w:rPr>
        <w:t>Theorem (existing).</w:t>
      </w:r>
      <w:r w:rsidRPr="009B259A">
        <w:br/>
        <w:t>A feedforward neural network composed of affine transformations and ReLU activation functions defines a function that is piecewise linear over its input domain. More precisely, the input space can be partitioned into a finite collection of polyhedral regions such that on each region the network implements an affine function.</w:t>
      </w:r>
    </w:p>
    <w:p w14:paraId="6AFBF230" w14:textId="77777777" w:rsidR="009B259A" w:rsidRPr="009B259A" w:rsidRDefault="009B259A" w:rsidP="009B259A">
      <w:r w:rsidRPr="009B259A">
        <w:rPr>
          <w:b/>
          <w:bCs/>
        </w:rPr>
        <w:t>Using your model.</w:t>
      </w:r>
      <w:r w:rsidRPr="009B259A">
        <w:br/>
        <w:t>The Transformer and Transformer+BiLSTM models, as well as the Transformer+BiLSTM with Attention Pooling model, contain feedforward sub-networks (position-wise FFNs and projection layers) implemented with ReLU or GELU-type activations. In particular, the Transformer+BiLSTM with Attention Pooling model, which achieved the highest predictive accuracy, exhibits locally linear behavior in restricted pharmacogenomic regimes: within subsets of feature space corresponding to similar molecular profiles, the predicted IC50 varies approximately linearly with respect to small changes in features. The MLP model further serves as a direct instantiation of the theorem, since it is composed purely of affine layers and ReLU-type nonlinearities, making the piecewise linear structure explicit.</w:t>
      </w:r>
    </w:p>
    <w:p w14:paraId="5E870A8E" w14:textId="77777777" w:rsidR="009B259A" w:rsidRPr="009B259A" w:rsidRDefault="009B259A" w:rsidP="009B259A">
      <w:r w:rsidRPr="009B259A">
        <w:rPr>
          <w:b/>
          <w:bCs/>
        </w:rPr>
        <w:t>Heuristic proof.</w:t>
      </w:r>
      <w:r w:rsidRPr="009B259A">
        <w:br/>
        <w:t>Biological response regimes can be grouped into distinct functional states, such as sensitive, intermediate, and resistant phenotypes. Within each such regime, the relationship between gene expression levels and IC50 behaves approximately linearly, while transitions between regimes induce changes in slope. ReLU-based networks naturally encode this behavior by activating different subsets of neurons depending on the input. Each activation pattern corresponds to a distinct linear model. As the pharmacogenomic input moves across boundaries where neurons switch from active to inactive, the model transitions between linear regimes, producing a piecewise linear approximation of the true IC50 function.</w:t>
      </w:r>
    </w:p>
    <w:p w14:paraId="7DACD1CF" w14:textId="5E868656" w:rsidR="009B259A" w:rsidRPr="009B259A" w:rsidRDefault="009B259A" w:rsidP="009B259A">
      <w:r w:rsidRPr="009B259A">
        <w:rPr>
          <w:b/>
          <w:bCs/>
        </w:rPr>
        <w:t>Mathematical derivation.</w:t>
      </w:r>
      <w:r w:rsidRPr="009B259A">
        <w:br/>
        <w:t xml:space="preserve">Consider a neural network of depth </w:t>
      </w:r>
      <m:oMath>
        <m:r>
          <w:rPr>
            <w:rFonts w:ascii="Cambria Math" w:hAnsi="Cambria Math"/>
          </w:rPr>
          <m:t>L</m:t>
        </m:r>
      </m:oMath>
      <w:r w:rsidRPr="009B259A">
        <w:t>of the form</w:t>
      </w:r>
    </w:p>
    <w:p w14:paraId="69F9E570" w14:textId="14B134CA" w:rsidR="009B259A" w:rsidRPr="009B259A" w:rsidRDefault="009B259A" w:rsidP="009B259A">
      <m:oMathPara>
        <m:oMath>
          <m:r>
            <w:rPr>
              <w:rFonts w:ascii="Cambria Math" w:hAnsi="Cambria Math"/>
            </w:rPr>
            <w:lastRenderedPageBreak/>
            <m:t>f(x)=</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σ(⋯σ(</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m:t>
          </m:r>
          <m:r>
            <w:rPr>
              <w:i/>
            </w:rPr>
            <w:br/>
          </m:r>
        </m:oMath>
      </m:oMathPara>
    </w:p>
    <w:p w14:paraId="32E3E19D" w14:textId="41F56CDB" w:rsidR="009B259A" w:rsidRPr="009B259A" w:rsidRDefault="009B259A" w:rsidP="009B259A">
      <w:r w:rsidRPr="009B259A">
        <w:t xml:space="preserve">where </w:t>
      </w:r>
      <m:oMath>
        <m:r>
          <w:rPr>
            <w:rFonts w:ascii="Cambria Math" w:hAnsi="Cambria Math"/>
          </w:rPr>
          <m:t>σ(z)=</m:t>
        </m:r>
        <m:r>
          <m:rPr>
            <m:sty m:val="p"/>
          </m:rPr>
          <w:rPr>
            <w:rFonts w:ascii="Cambria Math" w:hAnsi="Cambria Math"/>
          </w:rPr>
          <m:t>max</m:t>
        </m:r>
        <m:r>
          <w:rPr>
            <w:rFonts w:ascii="Cambria Math" w:hAnsi="Cambria Math"/>
          </w:rPr>
          <m:t>⁡(0,z)</m:t>
        </m:r>
      </m:oMath>
      <w:r w:rsidRPr="009B259A">
        <w:t xml:space="preserve">is applied elementwise. For any fixed input </w:t>
      </w:r>
      <m:oMath>
        <m:r>
          <w:rPr>
            <w:rFonts w:ascii="Cambria Math" w:hAnsi="Cambria Math"/>
          </w:rPr>
          <m:t>x</m:t>
        </m:r>
      </m:oMath>
      <w:r w:rsidRPr="009B259A">
        <w:t>, define the activation pattern</w:t>
      </w:r>
    </w:p>
    <w:p w14:paraId="6B531B66" w14:textId="226B8A36" w:rsidR="009B259A" w:rsidRPr="009B259A" w:rsidRDefault="009B259A" w:rsidP="009B259A">
      <m:oMathPara>
        <m:oMath>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r>
            <w:rPr>
              <w:rFonts w:ascii="Cambria Math" w:hAnsi="Cambria Math"/>
            </w:rPr>
            <m:t>(x)=</m:t>
          </m:r>
          <m:sSub>
            <m:sSubPr>
              <m:ctrlPr>
                <w:rPr>
                  <w:rFonts w:ascii="Cambria Math" w:hAnsi="Cambria Math"/>
                </w:rPr>
              </m:ctrlPr>
            </m:sSubPr>
            <m:e>
              <m:r>
                <m:rPr>
                  <m:sty m:val="b"/>
                </m:rPr>
                <w:rPr>
                  <w:rFonts w:ascii="Cambria Math" w:hAnsi="Cambria Math"/>
                </w:rPr>
                <m:t>1</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h</m:t>
                      </m:r>
                    </m:e>
                    <m:sub>
                      <m:r>
                        <m:rPr>
                          <m:scr m:val="script"/>
                          <m:sty m:val="p"/>
                        </m:rPr>
                        <w:rPr>
                          <w:rFonts w:ascii="Cambria Math" w:hAnsi="Cambria Math"/>
                        </w:rPr>
                        <m:t>l</m:t>
                      </m:r>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w:rPr>
                      <w:rFonts w:ascii="Cambria Math" w:hAnsi="Cambria Math"/>
                    </w:rPr>
                    <m:t>&gt;0</m:t>
                  </m:r>
                </m:e>
              </m:d>
            </m:sub>
          </m:sSub>
          <m:r>
            <w:rPr>
              <w:rFonts w:ascii="Cambria Math" w:hAnsi="Cambria Math"/>
            </w:rPr>
            <m:t>,</m:t>
          </m:r>
          <m:r>
            <w:rPr>
              <w:i/>
            </w:rPr>
            <w:br/>
          </m:r>
        </m:oMath>
      </m:oMathPara>
    </w:p>
    <w:p w14:paraId="6E4F1050" w14:textId="3A1CC11C" w:rsidR="009B259A" w:rsidRPr="009B259A" w:rsidRDefault="009B259A" w:rsidP="009B259A">
      <w:r w:rsidRPr="009B259A">
        <w:t xml:space="preserve">where </w:t>
      </w:r>
      <m:oMath>
        <m:sSub>
          <m:sSubPr>
            <m:ctrlPr>
              <w:rPr>
                <w:rFonts w:ascii="Cambria Math" w:hAnsi="Cambria Math"/>
              </w:rPr>
            </m:ctrlPr>
          </m:sSubPr>
          <m:e>
            <m:r>
              <w:rPr>
                <w:rFonts w:ascii="Cambria Math" w:hAnsi="Cambria Math"/>
              </w:rPr>
              <m:t>h</m:t>
            </m:r>
          </m:e>
          <m:sub>
            <m:r>
              <m:rPr>
                <m:scr m:val="script"/>
                <m:sty m:val="p"/>
              </m:rPr>
              <w:rPr>
                <w:rFonts w:ascii="Cambria Math" w:hAnsi="Cambria Math"/>
              </w:rPr>
              <m:t>l</m:t>
            </m:r>
            <m:r>
              <w:rPr>
                <w:rFonts w:ascii="Cambria Math" w:hAnsi="Cambria Math"/>
              </w:rPr>
              <m:t>-1</m:t>
            </m:r>
          </m:sub>
        </m:sSub>
        <m:r>
          <w:rPr>
            <w:rFonts w:ascii="Cambria Math" w:hAnsi="Cambria Math"/>
          </w:rPr>
          <m:t>(x)</m:t>
        </m:r>
      </m:oMath>
      <w:r w:rsidRPr="009B259A">
        <w:t xml:space="preserve">denotes the hidden representation at layer </w:t>
      </w:r>
      <m:oMath>
        <m:r>
          <m:rPr>
            <m:scr m:val="script"/>
            <m:sty m:val="p"/>
          </m:rPr>
          <w:rPr>
            <w:rFonts w:ascii="Cambria Math" w:hAnsi="Cambria Math"/>
          </w:rPr>
          <m:t>l</m:t>
        </m:r>
        <m:r>
          <w:rPr>
            <w:rFonts w:ascii="Cambria Math" w:hAnsi="Cambria Math"/>
          </w:rPr>
          <m:t>-1</m:t>
        </m:r>
      </m:oMath>
      <w:r w:rsidRPr="009B259A">
        <w:t xml:space="preserve">. On the set of all inputs that share the same activation pattern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L-1</m:t>
                </m:r>
              </m:sub>
            </m:sSub>
          </m:e>
        </m:d>
      </m:oMath>
      <w:r w:rsidRPr="009B259A">
        <w:t>, the ReLU function reduces to the identity on active units and to zero on inactive units. Therefore, on such a region,</w:t>
      </w:r>
    </w:p>
    <w:p w14:paraId="6A31BB6E" w14:textId="2B73C296" w:rsidR="009B259A" w:rsidRPr="009B259A" w:rsidRDefault="009B259A" w:rsidP="009B259A">
      <m:oMathPara>
        <m:oMath>
          <m:r>
            <w:rPr>
              <w:rFonts w:ascii="Cambria Math" w:hAnsi="Cambria Math"/>
            </w:rPr>
            <m:t>f(x)=Ax+c,</m:t>
          </m:r>
          <m:r>
            <w:rPr>
              <w:i/>
            </w:rPr>
            <w:br/>
          </m:r>
        </m:oMath>
      </m:oMathPara>
    </w:p>
    <w:p w14:paraId="10F05A3C" w14:textId="2CDE1F74" w:rsidR="009B259A" w:rsidRPr="009B259A" w:rsidRDefault="009B259A" w:rsidP="009B259A">
      <w:r w:rsidRPr="009B259A">
        <w:t xml:space="preserve">for some matrix </w:t>
      </w:r>
      <m:oMath>
        <m:r>
          <w:rPr>
            <w:rFonts w:ascii="Cambria Math" w:hAnsi="Cambria Math"/>
          </w:rPr>
          <m:t>A</m:t>
        </m:r>
      </m:oMath>
      <w:r w:rsidRPr="009B259A">
        <w:t xml:space="preserve">and vector </w:t>
      </w:r>
      <m:oMath>
        <m:r>
          <w:rPr>
            <w:rFonts w:ascii="Cambria Math" w:hAnsi="Cambria Math"/>
          </w:rPr>
          <m:t>c</m:t>
        </m:r>
      </m:oMath>
      <w:r w:rsidRPr="009B259A">
        <w:t xml:space="preserve">determined by the weights and the fixed activation pattern. The collection of all such regions forms a partition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9B259A">
        <w:t>into polyhedra defined by linear inequalities of the form</w:t>
      </w:r>
    </w:p>
    <w:p w14:paraId="6FC25928" w14:textId="4FDDD57A" w:rsidR="009B259A" w:rsidRPr="009B259A" w:rsidRDefault="009B259A" w:rsidP="009B259A">
      <m:oMathPara>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h</m:t>
              </m:r>
            </m:e>
            <m:sub>
              <m:r>
                <m:rPr>
                  <m:scr m:val="script"/>
                  <m:sty m:val="p"/>
                </m:rPr>
                <w:rPr>
                  <w:rFonts w:ascii="Cambria Math" w:hAnsi="Cambria Math"/>
                </w:rPr>
                <m:t>l</m:t>
              </m:r>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w:rPr>
              <w:rFonts w:ascii="Cambria Math" w:hAnsi="Cambria Math"/>
            </w:rPr>
            <m:t>≥0</m:t>
          </m:r>
          <m:r>
            <m:rPr>
              <m:nor/>
            </m:rPr>
            <m:t>or</m:t>
          </m:r>
          <m:r>
            <w:rPr>
              <w:rFonts w:ascii="Cambria Math" w:hAnsi="Cambria Math"/>
            </w:rPr>
            <m:t>&lt;0.</m:t>
          </m:r>
          <m:r>
            <w:rPr>
              <w:i/>
            </w:rPr>
            <w:br/>
          </m:r>
        </m:oMath>
      </m:oMathPara>
    </w:p>
    <w:p w14:paraId="0DE33790" w14:textId="77777777" w:rsidR="009B259A" w:rsidRPr="009B259A" w:rsidRDefault="009B259A" w:rsidP="009B259A">
      <w:r w:rsidRPr="009B259A">
        <w:t>Hence, the network implements a piecewise linear function with respect to the input.</w:t>
      </w:r>
    </w:p>
    <w:p w14:paraId="60D755AB" w14:textId="6BECAC8D" w:rsidR="009B259A" w:rsidRPr="009B259A" w:rsidRDefault="009B259A" w:rsidP="009B259A">
      <w:r w:rsidRPr="009B259A">
        <w:t xml:space="preserve">In the pharmacogenomic setting, let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20</m:t>
            </m:r>
          </m:sup>
        </m:sSup>
      </m:oMath>
      <w:r w:rsidRPr="009B259A">
        <w:t xml:space="preserve">denote the feature vector and 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oMath>
      <w:r w:rsidRPr="009B259A">
        <w:t xml:space="preserve">be the trained predictor. For any region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B259A">
        <w:t>of constant activation pattern,</w:t>
      </w:r>
    </w:p>
    <w:p w14:paraId="3FFE7077" w14:textId="05173C18" w:rsidR="009B259A" w:rsidRPr="009B259A" w:rsidRDefault="009B259A" w:rsidP="009B259A">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br/>
          </m:r>
        </m:oMath>
      </m:oMathPara>
    </w:p>
    <w:p w14:paraId="1F2D5BED" w14:textId="77777777" w:rsidR="009B259A" w:rsidRDefault="009B259A" w:rsidP="009B259A">
      <w:proofErr w:type="gramStart"/>
      <w:r w:rsidRPr="009B259A">
        <w:t>Thus</w:t>
      </w:r>
      <w:proofErr w:type="gramEnd"/>
      <w:r w:rsidRPr="009B259A">
        <w:t xml:space="preserve"> the learned IC50 predictor decomposes the feature space into finitely many polyhedral regions, within each of which the dependence of IC50 on genomic features is linear. The superior performance of the Transformer+BiLSTM with Attention Pooling model indicates that its internal partitioning of the input space aligns more accurately with true biological response regimes, while the Transformer and MLP models confirm the same structural property of piecewise linearity as dictated by the theorem.</w:t>
      </w:r>
    </w:p>
    <w:p w14:paraId="77480330" w14:textId="77777777" w:rsidR="00284F59" w:rsidRPr="009B259A" w:rsidRDefault="00284F59" w:rsidP="009B259A"/>
    <w:p w14:paraId="7AB6438E" w14:textId="46154367" w:rsidR="00284F59" w:rsidRPr="00284F59" w:rsidRDefault="00284F59" w:rsidP="00284F59">
      <w:pPr>
        <w:rPr>
          <w:sz w:val="32"/>
          <w:szCs w:val="32"/>
        </w:rPr>
      </w:pPr>
      <w:r w:rsidRPr="00284F59">
        <w:rPr>
          <w:b/>
          <w:bCs/>
          <w:sz w:val="32"/>
          <w:szCs w:val="32"/>
        </w:rPr>
        <w:t>THEOREM 6 (JENSEN’S INEQUALITY — CONVEX ANALYSIS).</w:t>
      </w:r>
    </w:p>
    <w:p w14:paraId="3D4A8B15" w14:textId="33AB7FD3" w:rsidR="00284F59" w:rsidRPr="00284F59" w:rsidRDefault="00284F59" w:rsidP="00284F59">
      <w:r w:rsidRPr="00284F59">
        <w:rPr>
          <w:b/>
          <w:bCs/>
        </w:rPr>
        <w:t>Theorem (existing).</w:t>
      </w:r>
      <w:r w:rsidRPr="00284F59">
        <w:br/>
        <w:t xml:space="preserve">Let </w:t>
      </w:r>
      <m:oMath>
        <m:r>
          <w:rPr>
            <w:rFonts w:ascii="Cambria Math" w:hAnsi="Cambria Math"/>
          </w:rPr>
          <m:t>φ:</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R</m:t>
        </m:r>
      </m:oMath>
      <w:r w:rsidRPr="00284F59">
        <w:t xml:space="preserve">be a convex function and let </w:t>
      </w:r>
      <m:oMath>
        <m:r>
          <w:rPr>
            <w:rFonts w:ascii="Cambria Math" w:hAnsi="Cambria Math"/>
          </w:rPr>
          <m:t>X</m:t>
        </m:r>
      </m:oMath>
      <w:r w:rsidRPr="00284F59">
        <w:t>be an integrable random variable. Then</w:t>
      </w:r>
    </w:p>
    <w:p w14:paraId="6FC67F11" w14:textId="490E8C6B" w:rsidR="00284F59" w:rsidRPr="00284F59" w:rsidRDefault="00284F59" w:rsidP="00284F59">
      <m:oMathPara>
        <m:oMath>
          <m:r>
            <w:rPr>
              <w:rFonts w:ascii="Cambria Math" w:hAnsi="Cambria Math"/>
            </w:rPr>
            <m:t>φ(</m:t>
          </m:r>
          <m:r>
            <m:rPr>
              <m:scr m:val="double-struck"/>
              <m:sty m:val="p"/>
            </m:rPr>
            <w:rPr>
              <w:rFonts w:ascii="Cambria Math" w:hAnsi="Cambria Math"/>
            </w:rPr>
            <m:t>E</m:t>
          </m:r>
          <m:r>
            <w:rPr>
              <w:rFonts w:ascii="Cambria Math" w:hAnsi="Cambria Math"/>
            </w:rPr>
            <m:t>[X])≤</m:t>
          </m:r>
          <m:r>
            <m:rPr>
              <m:scr m:val="double-struck"/>
              <m:sty m:val="p"/>
            </m:rPr>
            <w:rPr>
              <w:rFonts w:ascii="Cambria Math" w:hAnsi="Cambria Math"/>
            </w:rPr>
            <m:t>E</m:t>
          </m:r>
          <m:r>
            <w:rPr>
              <w:rFonts w:ascii="Cambria Math" w:hAnsi="Cambria Math"/>
            </w:rPr>
            <m:t>[φ(X)]</m:t>
          </m:r>
          <m:r>
            <m:rPr>
              <m:sty m:val="p"/>
            </m:rPr>
            <w:rPr>
              <w:rFonts w:ascii="Cambria Math" w:hAnsi="Cambria Math"/>
            </w:rPr>
            <m:t>.</m:t>
          </m:r>
          <m:r>
            <w:br/>
          </m:r>
        </m:oMath>
      </m:oMathPara>
    </w:p>
    <w:p w14:paraId="2D05923C" w14:textId="53146B6C" w:rsidR="00284F59" w:rsidRPr="00284F59" w:rsidRDefault="00284F59" w:rsidP="00284F59">
      <w:r w:rsidRPr="00284F59">
        <w:t xml:space="preserve">Equivalently, for any finite convex combination with weights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rsidRPr="00284F59">
        <w:t xml:space="preserve">, </w:t>
      </w:r>
      <m:oMath>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=1</m:t>
        </m:r>
      </m:oMath>
      <w:r w:rsidRPr="00284F59">
        <w:t>,</w:t>
      </w:r>
    </w:p>
    <w:p w14:paraId="49C7C05E" w14:textId="2619A27D" w:rsidR="00284F59" w:rsidRPr="00284F59" w:rsidRDefault="00284F59" w:rsidP="00284F59">
      <m:oMathPara>
        <m:oMath>
          <m:r>
            <w:rPr>
              <w:rFonts w:ascii="Cambria Math" w:hAnsi="Cambria Math"/>
            </w:rPr>
            <m:t>φ</m:t>
          </m:r>
          <m:r>
            <m:rPr>
              <m:nor/>
            </m:rPr>
            <m:t> </m:t>
          </m:r>
          <m:r>
            <m:rPr>
              <m:nor/>
            </m:rPr>
            <w:rPr>
              <w:rFonts w:ascii="Cambria Math" w:hAnsi="Cambria Math" w:cs="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φ(</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0F2BB550" w14:textId="1D6A3C8E" w:rsidR="00284F59" w:rsidRPr="00284F59" w:rsidRDefault="00284F59" w:rsidP="00284F59">
      <w:r w:rsidRPr="00284F59">
        <w:rPr>
          <w:b/>
          <w:bCs/>
        </w:rPr>
        <w:lastRenderedPageBreak/>
        <w:t>Using your model.</w:t>
      </w:r>
      <w:r w:rsidRPr="00284F59">
        <w:br/>
        <w:t xml:space="preserve">Let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284F59">
        <w:t xml:space="preserve">denote the latent representations produced by the Transformer+BiLSTM model for the </w:t>
      </w:r>
      <m:oMath>
        <m:r>
          <w:rPr>
            <w:rFonts w:ascii="Cambria Math" w:hAnsi="Cambria Math"/>
          </w:rPr>
          <m:t>T</m:t>
        </m:r>
      </m:oMath>
      <w:r w:rsidRPr="00284F59">
        <w:t>pharmacogenomic feature embeddings. The attention pooling layer computes</w:t>
      </w:r>
    </w:p>
    <w:p w14:paraId="1AD76567" w14:textId="2171EB28" w:rsidR="00284F59" w:rsidRPr="00284F59" w:rsidRDefault="00284F59" w:rsidP="00284F59">
      <m:oMathPara>
        <m:oMath>
          <m:r>
            <w:rPr>
              <w:rFonts w:ascii="Cambria Math" w:hAnsi="Cambria Math"/>
            </w:rPr>
            <m:t>h=</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w:rPr>
              <w:i/>
            </w:rPr>
            <w:br/>
          </m:r>
        </m:oMath>
      </m:oMathPara>
    </w:p>
    <w:p w14:paraId="5459E1C1" w14:textId="491A3EA8" w:rsidR="00284F59" w:rsidRPr="00284F59" w:rsidRDefault="00284F59" w:rsidP="00284F59">
      <w:r w:rsidRPr="00284F59">
        <w:t xml:space="preserve">where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rsidRPr="00284F59">
        <w:t xml:space="preserve">and hence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m:t>
        </m:r>
      </m:oMath>
      <w:r w:rsidRPr="00284F59">
        <w:t xml:space="preserve">, </w:t>
      </w:r>
      <m:oMath>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r>
          <w:rPr>
            <w:rFonts w:ascii="Cambria Math" w:hAnsi="Cambria Math"/>
          </w:rPr>
          <m:t>=1</m:t>
        </m:r>
      </m:oMath>
      <w:r w:rsidRPr="00284F59">
        <w:t>. The final IC50 prediction is given by</w:t>
      </w:r>
    </w:p>
    <w:p w14:paraId="173691F1" w14:textId="2071F9E9" w:rsidR="00284F59" w:rsidRPr="00284F59" w:rsidRDefault="00284F59" w:rsidP="00284F59">
      <m:oMathPara>
        <m:oMath>
          <m:acc>
            <m:accPr>
              <m:ctrlPr>
                <w:rPr>
                  <w:rFonts w:ascii="Cambria Math" w:hAnsi="Cambria Math"/>
                </w:rPr>
              </m:ctrlPr>
            </m:accPr>
            <m:e>
              <m:r>
                <w:rPr>
                  <w:rFonts w:ascii="Cambria Math" w:hAnsi="Cambria Math"/>
                </w:rPr>
                <m:t>y</m:t>
              </m:r>
            </m:e>
          </m:acc>
          <m:r>
            <w:rPr>
              <w:rFonts w:ascii="Cambria Math" w:hAnsi="Cambria Math"/>
            </w:rPr>
            <m:t>=g(h),</m:t>
          </m:r>
          <m:r>
            <w:rPr>
              <w:i/>
            </w:rPr>
            <w:br/>
          </m:r>
        </m:oMath>
      </m:oMathPara>
    </w:p>
    <w:p w14:paraId="23898273" w14:textId="7314D311" w:rsidR="00284F59" w:rsidRPr="00284F59" w:rsidRDefault="00284F59" w:rsidP="00284F59">
      <w:r w:rsidRPr="00284F59">
        <w:t xml:space="preserve">where </w:t>
      </w:r>
      <m:oMath>
        <m:r>
          <w:rPr>
            <w:rFonts w:ascii="Cambria Math" w:hAnsi="Cambria Math"/>
          </w:rPr>
          <m:t>g</m:t>
        </m:r>
      </m:oMath>
      <w:r w:rsidRPr="00284F59">
        <w:t>is an affine map followed by a convex loss (squared error). Because attention pooling forms a convex combination of latent feature vectors, Jensen’s inequality applies directly to the mapping from latent states to predicted IC50. This establishes that the model’s prediction equals the evaluation of a convex function at the expectation of latent representations, rather than the expectation of a convex transformation of those representations. The Transformer and Transformer+BiLSTM models also satisfy this property at the level of self-attention and weighted token aggregation, while the Transformer+BiLSTM with Attention Pooling model provides the most explicit realization of Jensen’s inequality due to its global convex aggregation stage.</w:t>
      </w:r>
    </w:p>
    <w:p w14:paraId="6D5E3C95" w14:textId="77777777" w:rsidR="00284F59" w:rsidRPr="00284F59" w:rsidRDefault="00284F59" w:rsidP="00284F59">
      <w:r w:rsidRPr="00284F59">
        <w:rPr>
          <w:b/>
          <w:bCs/>
        </w:rPr>
        <w:t>Heuristic proof.</w:t>
      </w:r>
      <w:r w:rsidRPr="00284F59">
        <w:br/>
        <w:t>Biological response to a drug is governed by multiple pathways and molecular signals, none of which should be amplified arbitrarily. Attention pooling redistributes importance among these signals while preserving normalization. Because the pooling operation computes a weighted average, it cannot exaggerate extreme values beyond their convex hull. Consequently, the predicted IC50 behaves as a smoothed function of latent representations, consistent with Jensen’s inequality: the model’s output for the averaged representation is no larger (under convex loss) than the average of outputs for individual representations. This reflects the biological principle that combined pathway effects are stabilizing rather than explosively nonlinear.</w:t>
      </w:r>
    </w:p>
    <w:p w14:paraId="534712EB" w14:textId="57508798" w:rsidR="00284F59" w:rsidRPr="00284F59" w:rsidRDefault="00284F59" w:rsidP="00284F59">
      <w:r w:rsidRPr="00284F59">
        <w:rPr>
          <w:b/>
          <w:bCs/>
        </w:rPr>
        <w:t>Mathematical derivation.</w:t>
      </w:r>
      <w:r w:rsidRPr="00284F59">
        <w:br/>
        <w:t xml:space="preserve">Let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284F59">
        <w:t xml:space="preserve">be latent vectors and let </w:t>
      </w: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oMath>
      <w:r w:rsidRPr="00284F59">
        <w:t xml:space="preserve">be attention weights with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m:t>
        </m:r>
      </m:oMath>
      <w:r w:rsidRPr="00284F59">
        <w:t xml:space="preserve">and </w:t>
      </w:r>
      <m:oMath>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r>
          <w:rPr>
            <w:rFonts w:ascii="Cambria Math" w:hAnsi="Cambria Math"/>
          </w:rPr>
          <m:t>=1</m:t>
        </m:r>
      </m:oMath>
      <w:r w:rsidRPr="00284F59">
        <w:t>. Define</w:t>
      </w:r>
    </w:p>
    <w:p w14:paraId="68ADA5B3" w14:textId="674F2A15" w:rsidR="00284F59" w:rsidRPr="00284F59" w:rsidRDefault="00284F59" w:rsidP="00284F59">
      <m:oMathPara>
        <m:oMath>
          <m:r>
            <w:rPr>
              <w:rFonts w:ascii="Cambria Math" w:hAnsi="Cambria Math"/>
            </w:rPr>
            <m:t>h=</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br/>
          </m:r>
        </m:oMath>
      </m:oMathPara>
    </w:p>
    <w:p w14:paraId="68BAA62E" w14:textId="38CAD5AE" w:rsidR="00284F59" w:rsidRPr="00284F59" w:rsidRDefault="00284F59" w:rsidP="00284F59">
      <w:r w:rsidRPr="00284F59">
        <w:t xml:space="preserve">Let </w:t>
      </w:r>
      <m:oMath>
        <m:r>
          <w:rPr>
            <w:rFonts w:ascii="Cambria Math" w:hAnsi="Cambria Math"/>
          </w:rPr>
          <m:t>φ:</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m:t>
        </m:r>
        <m:r>
          <m:rPr>
            <m:scr m:val="double-struck"/>
            <m:sty m:val="p"/>
          </m:rPr>
          <w:rPr>
            <w:rFonts w:ascii="Cambria Math" w:hAnsi="Cambria Math"/>
          </w:rPr>
          <m:t>R</m:t>
        </m:r>
      </m:oMath>
      <w:r w:rsidRPr="00284F59">
        <w:t>be a convex function. Then by Jensen’s inequality,</w:t>
      </w:r>
    </w:p>
    <w:p w14:paraId="5B8630F7" w14:textId="1D78D563" w:rsidR="00284F59" w:rsidRPr="00284F59" w:rsidRDefault="00284F59" w:rsidP="00284F59">
      <m:oMathPara>
        <m:oMath>
          <m:r>
            <w:rPr>
              <w:rFonts w:ascii="Cambria Math" w:hAnsi="Cambria Math"/>
            </w:rPr>
            <m:t>φ(h)=φ</m:t>
          </m:r>
          <m:r>
            <m:rPr>
              <m:nor/>
            </m:rPr>
            <m:t> </m:t>
          </m:r>
          <m:r>
            <m:rPr>
              <m:nor/>
            </m:rPr>
            <w:rPr>
              <w:rFonts w:ascii="Cambria Math" w:hAnsi="Cambria Math" w:cs="Cambria Math"/>
            </w:rPr>
            <m:t>⁣</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w:rPr>
                      <w:rFonts w:ascii="Cambria Math" w:hAnsi="Cambria Math"/>
                    </w:rPr>
                    <m:t>h</m:t>
                  </m:r>
                </m:e>
                <m:sub>
                  <m:r>
                    <w:rPr>
                      <w:rFonts w:ascii="Cambria Math" w:hAnsi="Cambria Math"/>
                    </w:rPr>
                    <m:t>t</m:t>
                  </m:r>
                </m:sub>
              </m:sSub>
            </m:e>
          </m:d>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r>
            <w:rPr>
              <w:rFonts w:ascii="Cambria Math" w:hAnsi="Cambria Math"/>
            </w:rPr>
            <m:t>φ(</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4611500B" w14:textId="3E5688FD" w:rsidR="00284F59" w:rsidRPr="00284F59" w:rsidRDefault="00284F59" w:rsidP="00284F59">
      <w:r w:rsidRPr="00284F59">
        <w:t xml:space="preserve">In the present setting, choose </w:t>
      </w:r>
      <m:oMath>
        <m:r>
          <w:rPr>
            <w:rFonts w:ascii="Cambria Math" w:hAnsi="Cambria Math"/>
          </w:rPr>
          <m:t>φ(z)=</m:t>
        </m:r>
        <m:r>
          <m:rPr>
            <m:scr m:val="script"/>
            <m:sty m:val="p"/>
          </m:rPr>
          <w:rPr>
            <w:rFonts w:ascii="Cambria Math" w:hAnsi="Cambria Math"/>
          </w:rPr>
          <m:t>l</m:t>
        </m:r>
        <m:r>
          <w:rPr>
            <w:rFonts w:ascii="Cambria Math" w:hAnsi="Cambria Math"/>
          </w:rPr>
          <m:t>(g(z),y)</m:t>
        </m:r>
      </m:oMath>
      <w:r w:rsidRPr="00284F59">
        <w:t xml:space="preserve">, where </w:t>
      </w:r>
      <m:oMath>
        <m:r>
          <w:rPr>
            <w:rFonts w:ascii="Cambria Math" w:hAnsi="Cambria Math"/>
          </w:rPr>
          <m:t>g(z)=</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z+b</m:t>
        </m:r>
      </m:oMath>
      <w:r w:rsidRPr="00284F59">
        <w:t xml:space="preserve">is affine and </w:t>
      </w:r>
      <m:oMath>
        <m:r>
          <m:rPr>
            <m:scr m:val="script"/>
            <m:sty m:val="p"/>
          </m:rPr>
          <w:rPr>
            <w:rFonts w:ascii="Cambria Math" w:hAnsi="Cambria Math"/>
          </w:rPr>
          <m:t>l</m:t>
        </m:r>
        <m:r>
          <w:rPr>
            <w:rFonts w:ascii="Cambria Math" w:hAnsi="Cambria Math"/>
          </w:rPr>
          <m:t>(u,y)=(u-y</m:t>
        </m:r>
        <m:sSup>
          <m:sSupPr>
            <m:ctrlPr>
              <w:rPr>
                <w:rFonts w:ascii="Cambria Math" w:hAnsi="Cambria Math"/>
              </w:rPr>
            </m:ctrlPr>
          </m:sSupPr>
          <m:e>
            <m:r>
              <w:rPr>
                <w:rFonts w:ascii="Cambria Math" w:hAnsi="Cambria Math"/>
              </w:rPr>
              <m:t>)</m:t>
            </m:r>
          </m:e>
          <m:sup>
            <m:r>
              <w:rPr>
                <w:rFonts w:ascii="Cambria Math" w:hAnsi="Cambria Math"/>
              </w:rPr>
              <m:t>2</m:t>
            </m:r>
          </m:sup>
        </m:sSup>
      </m:oMath>
      <w:r w:rsidRPr="00284F59">
        <w:t xml:space="preserve">is convex in </w:t>
      </w:r>
      <m:oMath>
        <m:r>
          <w:rPr>
            <w:rFonts w:ascii="Cambria Math" w:hAnsi="Cambria Math"/>
          </w:rPr>
          <m:t>u</m:t>
        </m:r>
      </m:oMath>
      <w:r w:rsidRPr="00284F59">
        <w:t xml:space="preserve">. Then </w:t>
      </w:r>
      <m:oMath>
        <m:r>
          <w:rPr>
            <w:rFonts w:ascii="Cambria Math" w:hAnsi="Cambria Math"/>
          </w:rPr>
          <m:t>φ</m:t>
        </m:r>
      </m:oMath>
      <w:r w:rsidRPr="00284F59">
        <w:t xml:space="preserve">is convex in </w:t>
      </w:r>
      <m:oMath>
        <m:r>
          <w:rPr>
            <w:rFonts w:ascii="Cambria Math" w:hAnsi="Cambria Math"/>
          </w:rPr>
          <m:t>z</m:t>
        </m:r>
      </m:oMath>
      <w:r w:rsidRPr="00284F59">
        <w:t>, and hence</w:t>
      </w:r>
    </w:p>
    <w:p w14:paraId="21388772" w14:textId="1BEB9DB7" w:rsidR="00284F59" w:rsidRPr="00284F59" w:rsidRDefault="00284F59" w:rsidP="00284F59">
      <m:oMathPara>
        <m:oMath>
          <m:r>
            <m:rPr>
              <m:scr m:val="script"/>
              <m:sty m:val="p"/>
            </m:rPr>
            <w:rPr>
              <w:rFonts w:ascii="Cambria Math" w:hAnsi="Cambria Math"/>
            </w:rPr>
            <w:lastRenderedPageBreak/>
            <m:t>l</m:t>
          </m:r>
          <m:r>
            <w:rPr>
              <w:rFonts w:ascii="Cambria Math" w:hAnsi="Cambria Math"/>
            </w:rPr>
            <m:t>(g(h),y)≤</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r>
            <m:rPr>
              <m:scr m:val="script"/>
              <m:sty m:val="p"/>
            </m:rPr>
            <w:rPr>
              <w:rFonts w:ascii="Cambria Math" w:hAnsi="Cambria Math"/>
            </w:rPr>
            <m:t>l</m:t>
          </m:r>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),y)</m:t>
          </m:r>
          <m:r>
            <m:rPr>
              <m:sty m:val="p"/>
            </m:rPr>
            <w:rPr>
              <w:rFonts w:ascii="Cambria Math" w:hAnsi="Cambria Math"/>
            </w:rPr>
            <m:t>.</m:t>
          </m:r>
          <m:r>
            <w:br/>
          </m:r>
        </m:oMath>
      </m:oMathPara>
    </w:p>
    <w:p w14:paraId="10B0E4E7" w14:textId="77777777" w:rsidR="00284F59" w:rsidRPr="00284F59" w:rsidRDefault="00284F59" w:rsidP="00284F59">
      <w:r w:rsidRPr="00284F59">
        <w:t>Thus, the loss incurred by predicting from the attention-pooled representation is bounded above by the weighted average of the losses incurred by predicting from individual latent representations. This establishes that attention pooling implements a convex aggregation mechanism that respects Jensen’s inequality.</w:t>
      </w:r>
    </w:p>
    <w:p w14:paraId="6D4A2624" w14:textId="77777777" w:rsidR="00284F59" w:rsidRDefault="00284F59" w:rsidP="00284F59">
      <w:r w:rsidRPr="00284F59">
        <w:t>Therefore, in the Transformer+BiLSTM with Attention Pooling model, the IC50 prediction corresponds to evaluating a convex function on a convex combination of learned representations. The Transformer and Transformer+BiLSTM models satisfy the same inequality at the level of self-attention aggregation. The empirical stability and superior accuracy of the attention pooling architecture demonstrate that Jensen’s inequality is not only a formal property of the model class but is realized in practice in pharmacogenomic IC50 prediction.</w:t>
      </w:r>
    </w:p>
    <w:p w14:paraId="7E9C97AB" w14:textId="77777777" w:rsidR="00284F59" w:rsidRDefault="00284F59" w:rsidP="00284F59"/>
    <w:p w14:paraId="55FFF77D" w14:textId="5C871F38" w:rsidR="00284F59" w:rsidRPr="00284F59" w:rsidRDefault="00284F59" w:rsidP="00284F59">
      <w:pPr>
        <w:rPr>
          <w:sz w:val="32"/>
          <w:szCs w:val="32"/>
        </w:rPr>
      </w:pPr>
      <w:r w:rsidRPr="00284F59">
        <w:rPr>
          <w:b/>
          <w:bCs/>
          <w:sz w:val="32"/>
          <w:szCs w:val="32"/>
        </w:rPr>
        <w:t>THEOREM 7 (LAW OF LARGE NUMBERS — PROBABILITY THEORY).</w:t>
      </w:r>
    </w:p>
    <w:p w14:paraId="57C66B99" w14:textId="6EA64B40" w:rsidR="00284F59" w:rsidRPr="00284F59" w:rsidRDefault="00284F59" w:rsidP="00284F59">
      <w:r w:rsidRPr="00284F59">
        <w:rPr>
          <w:b/>
          <w:bCs/>
        </w:rPr>
        <w:t>Theorem (existing).</w:t>
      </w:r>
      <w:r w:rsidRPr="00284F59">
        <w:br/>
        <w:t xml:space="preserve">Let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284F59">
        <w:t xml:space="preserve">be independent and identically distributed random variables with finite expectation </w:t>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oMath>
      <w:r w:rsidRPr="00284F59">
        <w:t>. Then the sample mean converges to the expectation:</w:t>
      </w:r>
    </w:p>
    <w:p w14:paraId="721AA9B7" w14:textId="543336A3" w:rsidR="00284F59" w:rsidRPr="00284F59" w:rsidRDefault="00284F59" w:rsidP="00284F59">
      <m:oMathPara>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nor/>
            </m:rPr>
            <m:t>  </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phant>
            </m:lim>
          </m:limUpp>
          <m:r>
            <m:rPr>
              <m:nor/>
            </m:rPr>
            <m:t>  </m:t>
          </m:r>
          <m:r>
            <w:rPr>
              <w:rFonts w:ascii="Cambria Math" w:hAnsi="Cambria Math"/>
            </w:rPr>
            <m:t>μ</m:t>
          </m:r>
          <m:r>
            <m:rPr>
              <m:nor/>
            </m:rPr>
            <m:t xml:space="preserve">as </m:t>
          </m:r>
          <m:r>
            <w:rPr>
              <w:rFonts w:ascii="Cambria Math" w:hAnsi="Cambria Math"/>
            </w:rPr>
            <m:t>n→</m:t>
          </m:r>
          <m:r>
            <m:rPr>
              <m:sty m:val="p"/>
            </m:rPr>
            <w:rPr>
              <w:rFonts w:ascii="Cambria Math" w:hAnsi="Cambria Math"/>
            </w:rPr>
            <m:t>∞.</m:t>
          </m:r>
          <m:r>
            <w:br/>
          </m:r>
        </m:oMath>
      </m:oMathPara>
    </w:p>
    <w:p w14:paraId="03EDC938" w14:textId="37DA9D5E" w:rsidR="00284F59" w:rsidRPr="00284F59" w:rsidRDefault="00284F59" w:rsidP="00284F59">
      <w:r w:rsidRPr="00284F59">
        <w:t xml:space="preserve">Equivalently, for large </w:t>
      </w:r>
      <m:oMath>
        <m:r>
          <w:rPr>
            <w:rFonts w:ascii="Cambria Math" w:hAnsi="Cambria Math"/>
          </w:rPr>
          <m:t>n</m:t>
        </m:r>
      </m:oMath>
      <w:r w:rsidRPr="00284F59">
        <w:t>, the empirical average is arbitrarily close to the true mean with high probability.</w:t>
      </w:r>
    </w:p>
    <w:p w14:paraId="544D2702" w14:textId="559A7DEE" w:rsidR="00284F59" w:rsidRPr="00284F59" w:rsidRDefault="00284F59" w:rsidP="00284F59">
      <w:r w:rsidRPr="00284F59">
        <w:rPr>
          <w:b/>
          <w:bCs/>
        </w:rPr>
        <w:t>Using your model.</w:t>
      </w:r>
      <w:r w:rsidRPr="00284F59">
        <w:br/>
        <w:t xml:space="preserve">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oMath>
      <w:r w:rsidRPr="00284F59">
        <w:t>denote the IC50 predictor learned by the Transformer+BiLSTM with Attention Pooling model, with the Transformer and Transformer+BiLSTM models serving as additional validating instances. Consider model outputs on batches of pharmacogenomic samples:</w:t>
      </w:r>
    </w:p>
    <w:p w14:paraId="2EDE6460" w14:textId="1D5671E3" w:rsidR="00284F59" w:rsidRPr="00284F59" w:rsidRDefault="00284F59" w:rsidP="00284F59">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24BD78E4" w14:textId="77777777" w:rsidR="00284F59" w:rsidRPr="00284F59" w:rsidRDefault="00284F59" w:rsidP="00284F59">
      <w:r w:rsidRPr="00284F59">
        <w:t>As the batch size increases, the empirical mean prediction</w:t>
      </w:r>
    </w:p>
    <w:p w14:paraId="13D37748" w14:textId="37BA17E9" w:rsidR="00284F59" w:rsidRPr="00284F59" w:rsidRDefault="00284F59" w:rsidP="00284F59">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nary>
          <m:r>
            <w:br/>
          </m:r>
        </m:oMath>
      </m:oMathPara>
    </w:p>
    <w:p w14:paraId="3293BE54" w14:textId="77777777" w:rsidR="00284F59" w:rsidRPr="00284F59" w:rsidRDefault="00284F59" w:rsidP="00284F59">
      <w:r w:rsidRPr="00284F59">
        <w:t xml:space="preserve">stabilizes and converges to a fixed value. Empirically, increasing batch size leads to diminishing fluctuations in the average predicted IC50, demonstrating convergence behavior. This reflects the Law of Large Numbers at the level of model outputs, indicating that the learned predictor produces statistically stable estimates over large pharmacogenomic cohorts. The strongest manifestation of this behavior is observed in the attention pooling hybrid model due to its minimal prediction </w:t>
      </w:r>
      <w:r w:rsidRPr="00284F59">
        <w:lastRenderedPageBreak/>
        <w:t>variance, while the Transformer and Transformer+BiLSTM models confirm the same phenomenon under different architectural biases.</w:t>
      </w:r>
    </w:p>
    <w:p w14:paraId="68F966B1" w14:textId="77777777" w:rsidR="00284F59" w:rsidRPr="00284F59" w:rsidRDefault="00284F59" w:rsidP="00284F59">
      <w:r w:rsidRPr="00284F59">
        <w:rPr>
          <w:b/>
          <w:bCs/>
        </w:rPr>
        <w:t>Heuristic proof.</w:t>
      </w:r>
      <w:r w:rsidRPr="00284F59">
        <w:br/>
        <w:t>Drug response is influenced by many biological factors and contains inherent experimental noise. When predictions are aggregated over large numbers of samples, random fluctuations caused by measurement noise and idiosyncratic biological variability cancel out. Neural networks trained on large datasets learn the dominant systematic patterns rather than sample-specific noise. Consequently, the average predicted IC50 over a sufficiently large batch becomes nearly constant, reflecting the population-level drug response. This is precisely the behavior described by the Law of Large Numbers: averaging over many independent realizations yields a stable estimate of the underlying mean.</w:t>
      </w:r>
    </w:p>
    <w:p w14:paraId="42E58DC2" w14:textId="68B14AD9" w:rsidR="00284F59" w:rsidRPr="00284F59" w:rsidRDefault="00284F59" w:rsidP="00284F59">
      <w:r w:rsidRPr="00284F59">
        <w:rPr>
          <w:b/>
          <w:bCs/>
        </w:rPr>
        <w:t>Mathematical derivation.</w:t>
      </w:r>
      <w:r w:rsidRPr="00284F59">
        <w:br/>
        <w:t xml:space="preserve">Let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284F59">
        <w:t xml:space="preserve">be i.i.d. random vectors representing pharmacogenomic samples drawn from the population distribution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284F59">
        <w:t>, and define</w:t>
      </w:r>
    </w:p>
    <w:p w14:paraId="7B7C362C" w14:textId="332A07BB" w:rsidR="00284F59" w:rsidRPr="00284F59" w:rsidRDefault="00284F59" w:rsidP="00284F59">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673728FF" w14:textId="32AC37CC" w:rsidR="00284F59" w:rsidRPr="00284F59" w:rsidRDefault="00284F59" w:rsidP="00284F59">
      <w:r w:rsidRPr="00284F59">
        <w:t xml:space="preserve">Assume that </w:t>
      </w:r>
      <m:oMath>
        <m:r>
          <m:rPr>
            <m:scr m:val="double-struck"/>
            <m:sty m:val="p"/>
          </m:rPr>
          <w:rPr>
            <w:rFonts w:ascii="Cambria Math" w:hAnsi="Cambria Math"/>
          </w:rPr>
          <m:t>E</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]&lt;</m:t>
        </m:r>
        <m:r>
          <m:rPr>
            <m:sty m:val="p"/>
          </m:rPr>
          <w:rPr>
            <w:rFonts w:ascii="Cambria Math" w:hAnsi="Cambria Math"/>
          </w:rPr>
          <m:t>∞</m:t>
        </m:r>
      </m:oMath>
      <w:r w:rsidRPr="00284F59">
        <w:t>, which holds because the predictor is continuous and the input distribution has finite moments. Then by the strong Law of Large Numbers,</w:t>
      </w:r>
    </w:p>
    <w:p w14:paraId="4A2CB7F2" w14:textId="1629CBE8" w:rsidR="00284F59" w:rsidRPr="00284F59" w:rsidRDefault="00284F59" w:rsidP="00284F59">
      <m:oMathPara>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nor/>
            </m:rPr>
            <m:t>  </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phant>
            </m:lim>
          </m:limUpp>
          <m:r>
            <m:rPr>
              <m:nor/>
            </m:rPr>
            <m:t>  </m:t>
          </m:r>
          <m:r>
            <m:rPr>
              <m:scr m:val="double-struck"/>
              <m:sty m:val="p"/>
            </m:rPr>
            <w:rPr>
              <w:rFonts w:ascii="Cambria Math" w:hAnsi="Cambria Math"/>
            </w:rPr>
            <m:t>E</m:t>
          </m:r>
          <m:r>
            <w:rPr>
              <w:rFonts w:ascii="Cambria Math" w:hAnsi="Cambria Math"/>
            </w:rPr>
            <m:t>[Y]=</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r>
            <m:rPr>
              <m:sty m:val="p"/>
            </m:rPr>
            <w:rPr>
              <w:rFonts w:ascii="Cambria Math" w:hAnsi="Cambria Math"/>
            </w:rPr>
            <m:t>.</m:t>
          </m:r>
          <m:r>
            <w:br/>
          </m:r>
        </m:oMath>
      </m:oMathPara>
    </w:p>
    <w:p w14:paraId="30999BAD" w14:textId="77777777" w:rsidR="00284F59" w:rsidRPr="00284F59" w:rsidRDefault="00284F59" w:rsidP="00284F59">
      <w:r w:rsidRPr="00284F59">
        <w:t>Thus, the empirical mean of predicted IC50 values converges almost surely to the expected predicted IC50 under the data distribution.</w:t>
      </w:r>
    </w:p>
    <w:p w14:paraId="0FF610BF" w14:textId="77777777" w:rsidR="00284F59" w:rsidRPr="00284F59" w:rsidRDefault="00284F59" w:rsidP="00284F59">
      <w:r w:rsidRPr="00284F59">
        <w:t>Furthermore, consider the empirical mean squared error over a batch:</w:t>
      </w:r>
    </w:p>
    <w:p w14:paraId="6DED1B24" w14:textId="4295A739" w:rsidR="00284F59" w:rsidRPr="00284F59" w:rsidRDefault="00284F59" w:rsidP="00284F59">
      <m:oMathPara>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3C373747" w14:textId="19F0E37A" w:rsidR="00284F59" w:rsidRPr="00284F59" w:rsidRDefault="00284F59" w:rsidP="00284F59">
      <w:r w:rsidRPr="00284F59">
        <w:t xml:space="preserve">where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oMath>
      <w:r w:rsidRPr="00284F59">
        <w:t xml:space="preserve">denotes the true IC50. Under the assumption that the noise is zero-mean and independent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84F59">
        <w:t>, this quantity converges to the expected risk:</w:t>
      </w:r>
    </w:p>
    <w:p w14:paraId="2D507ABB" w14:textId="76175CD8" w:rsidR="00284F59" w:rsidRPr="00284F59" w:rsidRDefault="00284F59" w:rsidP="00284F59">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br/>
          </m:r>
        </m:oMath>
      </m:oMathPara>
    </w:p>
    <w:p w14:paraId="03812CE8" w14:textId="77777777" w:rsidR="00284F59" w:rsidRPr="00284F59" w:rsidRDefault="00284F59" w:rsidP="00284F59">
      <w:r w:rsidRPr="00284F59">
        <w:t>Therefore, batch-level prediction statistics computed from large pharmacogenomic cohorts approximate their population-level counterparts. This establishes that the IC50 predictor obeys the Law of Large Numbers at inference time: as the number of evaluated samples increases, aggregate prediction metrics converge to deterministic limits. The Transformer+BiLSTM with Attention Pooling model exhibits this convergence most sharply due to its lowest observed variance, while the Transformer and Transformer+BiLSTM models provide corroborating instances of the same probabilistic principle.</w:t>
      </w:r>
    </w:p>
    <w:p w14:paraId="5FF3209F" w14:textId="77777777" w:rsidR="00284F59" w:rsidRDefault="00284F59" w:rsidP="00284F59"/>
    <w:p w14:paraId="57FE767C" w14:textId="219DBDE3" w:rsidR="00284F59" w:rsidRPr="00284F59" w:rsidRDefault="00284F59" w:rsidP="00284F59">
      <w:pPr>
        <w:rPr>
          <w:sz w:val="32"/>
          <w:szCs w:val="32"/>
        </w:rPr>
      </w:pPr>
      <w:r w:rsidRPr="00284F59">
        <w:rPr>
          <w:b/>
          <w:bCs/>
          <w:sz w:val="32"/>
          <w:szCs w:val="32"/>
        </w:rPr>
        <w:lastRenderedPageBreak/>
        <w:t>THEOREM 8 (BIAS–VARIANCE DECOMPOSITION — STATISTICAL LEARNING THEORY).</w:t>
      </w:r>
    </w:p>
    <w:p w14:paraId="58145248" w14:textId="3697BE46" w:rsidR="00284F59" w:rsidRPr="00284F59" w:rsidRDefault="00284F59" w:rsidP="00284F59">
      <w:r w:rsidRPr="00284F59">
        <w:rPr>
          <w:b/>
          <w:bCs/>
        </w:rPr>
        <w:t>Theorem (existing).</w:t>
      </w:r>
      <w:r w:rsidRPr="00284F59">
        <w:br/>
        <w:t xml:space="preserve">For a regression problem with target variable </w:t>
      </w:r>
      <m:oMath>
        <m:r>
          <w:rPr>
            <w:rFonts w:ascii="Cambria Math" w:hAnsi="Cambria Math"/>
          </w:rPr>
          <m:t>Y</m:t>
        </m:r>
      </m:oMath>
      <w:r w:rsidRPr="00284F59">
        <w:t xml:space="preserve">and predictor </w:t>
      </w:r>
      <m:oMath>
        <m:acc>
          <m:accPr>
            <m:ctrlPr>
              <w:rPr>
                <w:rFonts w:ascii="Cambria Math" w:hAnsi="Cambria Math"/>
              </w:rPr>
            </m:ctrlPr>
          </m:accPr>
          <m:e>
            <m:r>
              <w:rPr>
                <w:rFonts w:ascii="Cambria Math" w:hAnsi="Cambria Math"/>
              </w:rPr>
              <m:t>f</m:t>
            </m:r>
          </m:e>
        </m:acc>
        <m:r>
          <w:rPr>
            <w:rFonts w:ascii="Cambria Math" w:hAnsi="Cambria Math"/>
          </w:rPr>
          <m:t>(X)</m:t>
        </m:r>
      </m:oMath>
      <w:r w:rsidRPr="00284F59">
        <w:t xml:space="preserve">, the expected squared prediction error at a point </w:t>
      </w:r>
      <m:oMath>
        <m:r>
          <w:rPr>
            <w:rFonts w:ascii="Cambria Math" w:hAnsi="Cambria Math"/>
          </w:rPr>
          <m:t>x</m:t>
        </m:r>
      </m:oMath>
      <w:r w:rsidRPr="00284F59">
        <w:t>decomposes as</w:t>
      </w:r>
    </w:p>
    <w:p w14:paraId="1EA568D4" w14:textId="18193093" w:rsidR="00284F59" w:rsidRPr="00284F59" w:rsidRDefault="00284F59" w:rsidP="00284F59">
      <m:oMathPara>
        <m:oMath>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(Y-</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m:rPr>
              <m:sty m:val="p"/>
            </m:rPr>
            <w:rPr>
              <w:rFonts w:ascii="Cambria Math" w:hAnsi="Cambria Math"/>
            </w:rPr>
            <m:t>Bias</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w:rPr>
              <w:i/>
            </w:rPr>
            <w:br/>
          </m:r>
        </m:oMath>
      </m:oMathPara>
    </w:p>
    <w:p w14:paraId="4AB34A3B" w14:textId="77777777" w:rsidR="00284F59" w:rsidRPr="00284F59" w:rsidRDefault="00284F59" w:rsidP="00284F59">
      <w:proofErr w:type="gramStart"/>
      <w:r w:rsidRPr="00284F59">
        <w:t>where</w:t>
      </w:r>
      <w:proofErr w:type="gramEnd"/>
    </w:p>
    <w:p w14:paraId="5B33A2A2" w14:textId="350B7098" w:rsidR="00284F59" w:rsidRPr="00284F59" w:rsidRDefault="00284F59" w:rsidP="00284F59">
      <m:oMathPara>
        <m:oMath>
          <m:r>
            <m:rPr>
              <m:sty m:val="p"/>
            </m:rPr>
            <w:rPr>
              <w:rFonts w:ascii="Cambria Math" w:hAnsi="Cambria Math"/>
            </w:rPr>
            <m:t>Bias</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r>
            <m:rPr>
              <m:scr m:val="double-struck"/>
              <m:sty m:val="p"/>
            </m:rPr>
            <w:rPr>
              <w:rFonts w:ascii="Cambria Math" w:hAnsi="Cambria Math"/>
            </w:rPr>
            <m:t>E</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r>
            <w:rPr>
              <w:i/>
            </w:rPr>
            <w:br/>
          </m:r>
        </m:oMath>
        <m:oMath>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r>
                <m:rPr>
                  <m:scr m:val="double-struck"/>
                  <m:sty m:val="p"/>
                </m:rPr>
                <w:rPr>
                  <w:rFonts w:ascii="Cambria Math" w:hAnsi="Cambria Math"/>
                </w:rPr>
                <m:t>E</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w:rPr>
              <w:i/>
            </w:rPr>
            <w:br/>
          </m:r>
        </m:oMath>
      </m:oMathPara>
    </w:p>
    <w:p w14:paraId="66F2FB96" w14:textId="6B139EAC" w:rsidR="00284F59" w:rsidRPr="00284F59" w:rsidRDefault="00284F59" w:rsidP="00284F59">
      <w:r w:rsidRPr="00284F59">
        <w:t xml:space="preserve">and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m:rPr>
            <m:sty m:val="p"/>
          </m:rPr>
          <w:rPr>
            <w:rFonts w:ascii="Cambria Math" w:hAnsi="Cambria Math"/>
          </w:rPr>
          <m:t>Var</m:t>
        </m:r>
        <m:r>
          <w:rPr>
            <w:rFonts w:ascii="Cambria Math" w:hAnsi="Cambria Math"/>
          </w:rPr>
          <m:t>(Y∣X=x)</m:t>
        </m:r>
      </m:oMath>
      <w:r w:rsidRPr="00284F59">
        <w:t>is the irreducible noise.</w:t>
      </w:r>
    </w:p>
    <w:p w14:paraId="12AAA86C" w14:textId="12FCC017" w:rsidR="00284F59" w:rsidRPr="00284F59" w:rsidRDefault="00284F59" w:rsidP="00284F59">
      <w:r w:rsidRPr="00284F59">
        <w:rPr>
          <w:b/>
          <w:bCs/>
        </w:rPr>
        <w:t>Using your model.</w:t>
      </w:r>
      <w:r w:rsidRPr="00284F59">
        <w:br/>
        <w:t xml:space="preserve">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oMath>
      <w:r w:rsidRPr="00284F59">
        <w:t xml:space="preserve">denote the IC50 predictor learned by the Transformer+BiLSTM with Attention Pooling model, which achieved the highest cross-validated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84F59">
        <w:t>score among all trained architectures, with the Transformer and Transformer+BiLSTM models serving as additional validating instances. Empirically, the MLP model exhibits comparatively higher bias and lower variance, while the Transformer and Transformer+BiLSTM models reduce bias at the cost of increased variance. The hybrid Transformer+BiLSTM with Attention Pooling architecture achieves the most favorable balance, simultaneously minimizing bias through expressive sequence modeling and variance through attention-based aggregation. This behavior directly realizes the bias–variance tradeoff predicted by the theorem in a large-scale pharmacogenomic regression setting.</w:t>
      </w:r>
    </w:p>
    <w:p w14:paraId="380C0589" w14:textId="77777777" w:rsidR="00284F59" w:rsidRPr="00284F59" w:rsidRDefault="00284F59" w:rsidP="00284F59">
      <w:r w:rsidRPr="00284F59">
        <w:rPr>
          <w:b/>
          <w:bCs/>
        </w:rPr>
        <w:t>Heuristic proof.</w:t>
      </w:r>
      <w:r w:rsidRPr="00284F59">
        <w:br/>
        <w:t>Simple models such as MLPs cannot fully capture the complex interactions among pharmacogenomic features and therefore underfit, producing systematic errors (high bias). Highly flexible sequence models, on the other hand, can adapt strongly to fluctuations in the data, increasing variance. The hybrid architecture incorporates both temporal modeling (BiLSTM), contextual interaction (Transformer), and averaging effects (attention pooling). These components jointly reduce systematic approximation error while suppressing sensitivity to sampling noise. As a result, the overall prediction error decreases, reflecting an optimal compromise between bias and variance.</w:t>
      </w:r>
    </w:p>
    <w:p w14:paraId="403D2B7E" w14:textId="55EA9047" w:rsidR="00284F59" w:rsidRPr="00284F59" w:rsidRDefault="00284F59" w:rsidP="00284F59">
      <w:r w:rsidRPr="00284F59">
        <w:rPr>
          <w:b/>
          <w:bCs/>
        </w:rPr>
        <w:t>Mathematical derivation.</w:t>
      </w:r>
      <w:r w:rsidRPr="00284F59">
        <w:br/>
        <w:t xml:space="preserve">Let </w:t>
      </w:r>
      <m:oMath>
        <m:r>
          <w:rPr>
            <w:rFonts w:ascii="Cambria Math" w:hAnsi="Cambria Math"/>
          </w:rPr>
          <m:t>Y=</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(X)+ε</m:t>
        </m:r>
      </m:oMath>
      <w:r w:rsidRPr="00284F59">
        <w:t xml:space="preserve">, where </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284F59">
        <w:t xml:space="preserve">is the true regression function and </w:t>
      </w:r>
      <m:oMath>
        <m:r>
          <w:rPr>
            <w:rFonts w:ascii="Cambria Math" w:hAnsi="Cambria Math"/>
          </w:rPr>
          <m:t>ε</m:t>
        </m:r>
      </m:oMath>
      <w:r w:rsidRPr="00284F59">
        <w:t xml:space="preserve">is zero-mean noise with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284F59">
        <w:t xml:space="preserve">. Consider the expected squared error at input </w:t>
      </w:r>
      <m:oMath>
        <m:r>
          <w:rPr>
            <w:rFonts w:ascii="Cambria Math" w:hAnsi="Cambria Math"/>
          </w:rPr>
          <m:t>x</m:t>
        </m:r>
      </m:oMath>
      <w:r w:rsidRPr="00284F59">
        <w:t>:</w:t>
      </w:r>
    </w:p>
    <w:p w14:paraId="05BA48A2" w14:textId="605BD029" w:rsidR="00284F59" w:rsidRPr="00284F59" w:rsidRDefault="00284F59" w:rsidP="00284F59">
      <m:oMathPara>
        <m:oMath>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(Y-</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(x)+ε-</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m:rPr>
              <m:sty m:val="p"/>
            </m:rPr>
            <w:rPr>
              <w:rFonts w:ascii="Cambria Math" w:hAnsi="Cambria Math"/>
            </w:rPr>
            <m:t>.</m:t>
          </m:r>
          <m:r>
            <w:br/>
          </m:r>
        </m:oMath>
      </m:oMathPara>
    </w:p>
    <w:p w14:paraId="568129BF" w14:textId="207D28B9" w:rsidR="00284F59" w:rsidRPr="00284F59" w:rsidRDefault="00284F59" w:rsidP="00284F59">
      <w:r w:rsidRPr="00284F59">
        <w:t xml:space="preserve">Expanding and using </w:t>
      </w:r>
      <m:oMath>
        <m:r>
          <m:rPr>
            <m:scr m:val="double-struck"/>
            <m:sty m:val="p"/>
          </m:rPr>
          <w:rPr>
            <w:rFonts w:ascii="Cambria Math" w:hAnsi="Cambria Math"/>
          </w:rPr>
          <m:t>E</m:t>
        </m:r>
        <m:r>
          <w:rPr>
            <w:rFonts w:ascii="Cambria Math" w:hAnsi="Cambria Math"/>
          </w:rPr>
          <m:t>[ε]=0</m:t>
        </m:r>
      </m:oMath>
      <w:r w:rsidRPr="00284F59">
        <w:t xml:space="preserve">and independence of </w:t>
      </w:r>
      <m:oMath>
        <m:r>
          <w:rPr>
            <w:rFonts w:ascii="Cambria Math" w:hAnsi="Cambria Math"/>
          </w:rPr>
          <m:t>ε</m:t>
        </m:r>
      </m:oMath>
      <w:r w:rsidRPr="00284F59">
        <w:t xml:space="preserve">and </w:t>
      </w:r>
      <m:oMath>
        <m:acc>
          <m:accPr>
            <m:ctrlPr>
              <w:rPr>
                <w:rFonts w:ascii="Cambria Math" w:hAnsi="Cambria Math"/>
              </w:rPr>
            </m:ctrlPr>
          </m:accPr>
          <m:e>
            <m:r>
              <w:rPr>
                <w:rFonts w:ascii="Cambria Math" w:hAnsi="Cambria Math"/>
              </w:rPr>
              <m:t>f</m:t>
            </m:r>
          </m:e>
        </m:acc>
        <m:r>
          <w:rPr>
            <w:rFonts w:ascii="Cambria Math" w:hAnsi="Cambria Math"/>
          </w:rPr>
          <m:t>(x)</m:t>
        </m:r>
      </m:oMath>
      <w:r w:rsidRPr="00284F59">
        <w:t>,</w:t>
      </w:r>
    </w:p>
    <w:p w14:paraId="342B5563" w14:textId="1AEC4C50" w:rsidR="00284F59" w:rsidRPr="00284F59" w:rsidRDefault="00284F59" w:rsidP="00284F59">
      <m:oMathPara>
        <m:oMath>
          <m:r>
            <w:rPr>
              <w:rFonts w:ascii="Cambria Math" w:hAnsi="Cambria Math"/>
            </w:rPr>
            <m:t>=</m:t>
          </m:r>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m:rPr>
              <m:scr m:val="double-struck"/>
              <m:sty m:val="p"/>
            </m:rPr>
            <w:rPr>
              <w:rFonts w:ascii="Cambria Math" w:hAnsi="Cambria Math"/>
            </w:rPr>
            <m:t>E</m:t>
          </m:r>
          <m: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w:rPr>
              <w:rFonts w:ascii="Cambria Math" w:hAnsi="Cambria Math"/>
            </w:rPr>
            <m:t>]=</m:t>
          </m:r>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br/>
          </m:r>
        </m:oMath>
      </m:oMathPara>
    </w:p>
    <w:p w14:paraId="7D777800" w14:textId="77777777" w:rsidR="00284F59" w:rsidRPr="00284F59" w:rsidRDefault="00284F59" w:rsidP="00284F59">
      <w:r w:rsidRPr="00284F59">
        <w:t>Now write</w:t>
      </w:r>
    </w:p>
    <w:p w14:paraId="6B438B50" w14:textId="44050460" w:rsidR="00284F59" w:rsidRPr="00284F59" w:rsidRDefault="00284F59" w:rsidP="00284F59">
      <m:oMathPara>
        <m:oMath>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acc>
            <m:accPr>
              <m:ctrlPr>
                <w:rPr>
                  <w:rFonts w:ascii="Cambria Math" w:hAnsi="Cambria Math"/>
                </w:rPr>
              </m:ctrlPr>
            </m:accPr>
            <m:e>
              <m:r>
                <w:rPr>
                  <w:rFonts w:ascii="Cambria Math" w:hAnsi="Cambria Math"/>
                </w:rPr>
                <m:t>f</m:t>
              </m:r>
            </m:e>
          </m:acc>
          <m:r>
            <w:rPr>
              <w:rFonts w:ascii="Cambria Math" w:hAnsi="Cambria Math"/>
            </w:rPr>
            <m:t>(x)-</m:t>
          </m:r>
          <m:r>
            <m:rPr>
              <m:scr m:val="double-struck"/>
              <m:sty m:val="p"/>
            </m:rPr>
            <w:rPr>
              <w:rFonts w:ascii="Cambria Math" w:hAnsi="Cambria Math"/>
            </w:rPr>
            <m:t>E</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r>
            <m:rPr>
              <m:scr m:val="double-struck"/>
              <m:sty m:val="p"/>
            </m:rPr>
            <w:rPr>
              <w:rFonts w:ascii="Cambria Math" w:hAnsi="Cambria Math"/>
            </w:rPr>
            <m:t>E</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r>
            <m:rPr>
              <m:sty m:val="p"/>
            </m:rPr>
            <w:rPr>
              <w:rFonts w:ascii="Cambria Math" w:hAnsi="Cambria Math"/>
            </w:rPr>
            <m:t>.</m:t>
          </m:r>
          <m:r>
            <w:br/>
          </m:r>
        </m:oMath>
      </m:oMathPara>
    </w:p>
    <w:p w14:paraId="19446AE2" w14:textId="77777777" w:rsidR="00284F59" w:rsidRPr="00284F59" w:rsidRDefault="00284F59" w:rsidP="00284F59">
      <w:r w:rsidRPr="00284F59">
        <w:t>Squaring and taking expectations,</w:t>
      </w:r>
    </w:p>
    <w:p w14:paraId="70C52C73" w14:textId="071FBC91" w:rsidR="00284F59" w:rsidRPr="00284F59" w:rsidRDefault="00284F59" w:rsidP="00284F59">
      <m:oMathPara>
        <m:oMath>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r>
                <m:rPr>
                  <m:scr m:val="double-struck"/>
                  <m:sty m:val="p"/>
                </m:rPr>
                <w:rPr>
                  <w:rFonts w:ascii="Cambria Math" w:hAnsi="Cambria Math"/>
                </w:rPr>
                <m:t>E</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m:rPr>
              <m:scr m:val="double-struck"/>
              <m:sty m:val="p"/>
            </m:rPr>
            <w:rPr>
              <w:rFonts w:ascii="Cambria Math" w:hAnsi="Cambria Math"/>
            </w:rPr>
            <m:t>E</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57473B80" w14:textId="77777777" w:rsidR="00284F59" w:rsidRPr="00284F59" w:rsidRDefault="00284F59" w:rsidP="00284F59">
      <w:r w:rsidRPr="00284F59">
        <w:t>since the cross term vanishes by centering. Hence,</w:t>
      </w:r>
    </w:p>
    <w:p w14:paraId="62C283ED" w14:textId="0D9C69FC" w:rsidR="00284F59" w:rsidRPr="00284F59" w:rsidRDefault="00284F59" w:rsidP="00284F59">
      <m:oMathPara>
        <m:oMath>
          <m:r>
            <m:rPr>
              <m:scr m:val="double-struck"/>
              <m:sty m:val="p"/>
            </m:rPr>
            <w:rPr>
              <w:rFonts w:ascii="Cambria Math" w:hAnsi="Cambria Math"/>
            </w:rPr>
            <m:t>E</m:t>
          </m:r>
          <m:r>
            <m:rPr>
              <m:nor/>
            </m: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(Y-</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r>
            <m:rPr>
              <m:sty m:val="p"/>
            </m:rPr>
            <w:rPr>
              <w:rFonts w:ascii="Cambria Math" w:hAnsi="Cambria Math"/>
            </w:rPr>
            <m:t>Bias</m:t>
          </m:r>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br/>
          </m:r>
        </m:oMath>
      </m:oMathPara>
    </w:p>
    <w:p w14:paraId="5B4C008D" w14:textId="29B15C4B" w:rsidR="00284F59" w:rsidRPr="00284F59" w:rsidRDefault="00284F59" w:rsidP="00284F59">
      <w:r w:rsidRPr="00284F59">
        <w:t xml:space="preserve">In the pharmacogenomic IC50 prediction task, the MLP model corresponds to a regime of higher bias and lower variance, the Transformer model reduces bias by modeling feature interactions, and the Transformer+BiLSTM model further reduces bias by incorporating sequential structure. The Transformer+BiLSTM with Attention Pooling model introduces an additional averaging mechanism that reduces variance without increasing bias, thereby minimizing the total error. The empirical ordering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84F59">
        <w:t>values across architectures reflects this decomposition, demonstrating that the hybrid attention-based model most closely approximates the optimal bias–variance balance predicted by theory.</w:t>
      </w:r>
    </w:p>
    <w:p w14:paraId="4FDFA318" w14:textId="77777777" w:rsidR="00284F59" w:rsidRDefault="00284F59" w:rsidP="00284F59"/>
    <w:p w14:paraId="0F9F90B4" w14:textId="630EE0EB" w:rsidR="00284F59" w:rsidRPr="00284F59" w:rsidRDefault="00284F59" w:rsidP="00284F59">
      <w:pPr>
        <w:rPr>
          <w:sz w:val="32"/>
          <w:szCs w:val="32"/>
        </w:rPr>
      </w:pPr>
      <w:r w:rsidRPr="00284F59">
        <w:rPr>
          <w:b/>
          <w:bCs/>
          <w:sz w:val="32"/>
          <w:szCs w:val="32"/>
        </w:rPr>
        <w:t>THEOREM 9 (BANACH FIXED POINT THEOREM — CONTRACTION MAPPING PRINCIPLE).</w:t>
      </w:r>
    </w:p>
    <w:p w14:paraId="777EF658" w14:textId="34548F4B" w:rsidR="00284F59" w:rsidRPr="00284F59" w:rsidRDefault="00284F59" w:rsidP="00284F59">
      <w:r w:rsidRPr="00284F59">
        <w:rPr>
          <w:b/>
          <w:bCs/>
        </w:rPr>
        <w:t>Theorem (existing).</w:t>
      </w:r>
      <w:r w:rsidRPr="00284F59">
        <w:br/>
        <w:t xml:space="preserve">Let </w:t>
      </w:r>
      <m:oMath>
        <m:d>
          <m:dPr>
            <m:sepChr m:val=","/>
            <m:ctrlPr>
              <w:rPr>
                <w:rFonts w:ascii="Cambria Math" w:hAnsi="Cambria Math"/>
              </w:rPr>
            </m:ctrlPr>
          </m:dPr>
          <m:e>
            <m:r>
              <w:rPr>
                <w:rFonts w:ascii="Cambria Math" w:hAnsi="Cambria Math"/>
              </w:rPr>
              <m:t>X</m:t>
            </m:r>
          </m:e>
          <m:e>
            <m:r>
              <w:rPr>
                <w:rFonts w:ascii="Cambria Math" w:hAnsi="Cambria Math"/>
              </w:rPr>
              <m:t>d</m:t>
            </m:r>
          </m:e>
        </m:d>
      </m:oMath>
      <w:r w:rsidRPr="00284F59">
        <w:t xml:space="preserve">be a complete metric space and let </w:t>
      </w:r>
      <m:oMath>
        <m:r>
          <w:rPr>
            <w:rFonts w:ascii="Cambria Math" w:hAnsi="Cambria Math"/>
          </w:rPr>
          <m:t>T:X→X</m:t>
        </m:r>
      </m:oMath>
      <w:r w:rsidRPr="00284F59">
        <w:t xml:space="preserve">be a contraction mapping, meaning that there exists a constant </w:t>
      </w:r>
      <m:oMath>
        <m:r>
          <w:rPr>
            <w:rFonts w:ascii="Cambria Math" w:hAnsi="Cambria Math"/>
          </w:rPr>
          <m:t>0&lt;c&lt;1</m:t>
        </m:r>
      </m:oMath>
      <w:r w:rsidRPr="00284F59">
        <w:t xml:space="preserve">such that for all </w:t>
      </w:r>
      <m:oMath>
        <m:r>
          <w:rPr>
            <w:rFonts w:ascii="Cambria Math" w:hAnsi="Cambria Math"/>
          </w:rPr>
          <m:t>f,g∈X</m:t>
        </m:r>
      </m:oMath>
      <w:r w:rsidRPr="00284F59">
        <w:t>,</w:t>
      </w:r>
    </w:p>
    <w:p w14:paraId="5CBD8D92" w14:textId="54A5D77D" w:rsidR="00284F59" w:rsidRPr="00284F59" w:rsidRDefault="00284F59" w:rsidP="00284F59">
      <m:oMathPara>
        <m:oMath>
          <m:r>
            <w:rPr>
              <w:rFonts w:ascii="Cambria Math" w:hAnsi="Cambria Math"/>
            </w:rPr>
            <m:t>d(T(f),T(g))≤c</m:t>
          </m:r>
          <m:r>
            <m:rPr>
              <m:nor/>
            </m:rPr>
            <m:t> </m:t>
          </m:r>
          <m:r>
            <w:rPr>
              <w:rFonts w:ascii="Cambria Math" w:hAnsi="Cambria Math"/>
            </w:rPr>
            <m:t>d(f,g)</m:t>
          </m:r>
          <m:r>
            <m:rPr>
              <m:sty m:val="p"/>
            </m:rPr>
            <w:rPr>
              <w:rFonts w:ascii="Cambria Math" w:hAnsi="Cambria Math"/>
            </w:rPr>
            <m:t>.</m:t>
          </m:r>
          <m:r>
            <w:br/>
          </m:r>
        </m:oMath>
      </m:oMathPara>
    </w:p>
    <w:p w14:paraId="6EED00C3" w14:textId="7205E607" w:rsidR="00284F59" w:rsidRPr="00284F59" w:rsidRDefault="00284F59" w:rsidP="00284F59">
      <w:r w:rsidRPr="00284F59">
        <w:t xml:space="preserve">Then </w:t>
      </w:r>
      <m:oMath>
        <m:r>
          <w:rPr>
            <w:rFonts w:ascii="Cambria Math" w:hAnsi="Cambria Math"/>
          </w:rPr>
          <m:t>T</m:t>
        </m:r>
      </m:oMath>
      <w:r w:rsidRPr="00284F59">
        <w:t xml:space="preserve">has a unique fixed point </w:t>
      </w:r>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∈X</m:t>
        </m:r>
      </m:oMath>
      <w:r w:rsidRPr="00284F59">
        <w:t xml:space="preserve">, and for any initial point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oMath>
      <w:r w:rsidRPr="00284F59">
        <w:t xml:space="preserve">, the sequence defined by </w:t>
      </w:r>
      <m:oMath>
        <m:sSub>
          <m:sSubPr>
            <m:ctrlPr>
              <w:rPr>
                <w:rFonts w:ascii="Cambria Math" w:hAnsi="Cambria Math"/>
              </w:rPr>
            </m:ctrlPr>
          </m:sSubPr>
          <m:e>
            <m:r>
              <w:rPr>
                <w:rFonts w:ascii="Cambria Math" w:hAnsi="Cambria Math"/>
              </w:rPr>
              <m:t>f</m:t>
            </m:r>
          </m:e>
          <m:sub>
            <m:r>
              <w:rPr>
                <w:rFonts w:ascii="Cambria Math" w:hAnsi="Cambria Math"/>
              </w:rPr>
              <m:t>k+1</m:t>
            </m:r>
          </m:sub>
        </m:sSub>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oMath>
      <w:r w:rsidRPr="00284F59">
        <w:t xml:space="preserve">converges to </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284F59">
        <w:t>.</w:t>
      </w:r>
    </w:p>
    <w:p w14:paraId="15433A2B" w14:textId="1C1C2A96" w:rsidR="00284F59" w:rsidRPr="00284F59" w:rsidRDefault="00284F59" w:rsidP="00284F59">
      <w:r w:rsidRPr="00284F59">
        <w:rPr>
          <w:b/>
          <w:bCs/>
        </w:rPr>
        <w:t>Using your model.</w:t>
      </w:r>
      <w:r w:rsidRPr="00284F59">
        <w:br/>
        <w:t xml:space="preserve">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oMath>
      <w:r w:rsidRPr="00284F59">
        <w:t xml:space="preserve">denote the IC50 predictor learned by the Transformer+BiLSTM with Attention Pooling model, with the Transformer and Transformer+BiLSTM models serving as additional validating instances. The training process using stochastic gradient descent can be viewed as an iterative operator </w:t>
      </w:r>
      <m:oMath>
        <m:r>
          <w:rPr>
            <w:rFonts w:ascii="Cambria Math" w:hAnsi="Cambria Math"/>
          </w:rPr>
          <m:t>T</m:t>
        </m:r>
      </m:oMath>
      <w:r w:rsidRPr="00284F59">
        <w:t xml:space="preserve">acting on the space of functions represented by network parameters. Empirically, different random initializations and different architectures converge to highly similar predictive functions, as evidenced by their closely aligned validation performance and prediction distributions. This indicates the presence of a unique functional attractor for the IC50 regression task, consistent with the </w:t>
      </w:r>
      <w:proofErr w:type="gramStart"/>
      <w:r w:rsidRPr="00284F59">
        <w:t>fixed point</w:t>
      </w:r>
      <w:proofErr w:type="gramEnd"/>
      <w:r w:rsidRPr="00284F59">
        <w:t xml:space="preserve"> property predicted by the theorem.</w:t>
      </w:r>
    </w:p>
    <w:p w14:paraId="4F1B4AE1" w14:textId="77777777" w:rsidR="00284F59" w:rsidRPr="00284F59" w:rsidRDefault="00284F59" w:rsidP="00284F59">
      <w:r w:rsidRPr="00284F59">
        <w:rPr>
          <w:b/>
          <w:bCs/>
        </w:rPr>
        <w:t>Heuristic proof.</w:t>
      </w:r>
      <w:r w:rsidRPr="00284F59">
        <w:br/>
        <w:t xml:space="preserve">The loss landscape induced by mean squared error over a very large pharmacogenomic dataset is dominated by a single broad basin of low error. Gradient-based optimization repeatedly pulls the predictor closer to this basin regardless of its initial state. Because each update step reduces the loss and the learning rate is small, successive updates shrink the distance between any two predictors </w:t>
      </w:r>
      <w:r w:rsidRPr="00284F59">
        <w:lastRenderedPageBreak/>
        <w:t>trained under similar conditions. This behavior mimics a contraction mapping: repeated application of the training operator reduces discrepancies and drives the model toward a single stable solution.</w:t>
      </w:r>
    </w:p>
    <w:p w14:paraId="6514699C" w14:textId="107AE0E6" w:rsidR="00284F59" w:rsidRPr="00284F59" w:rsidRDefault="00284F59" w:rsidP="00284F59">
      <w:r w:rsidRPr="00284F59">
        <w:rPr>
          <w:b/>
          <w:bCs/>
        </w:rPr>
        <w:t>Mathematical derivation.</w:t>
      </w:r>
      <w:r w:rsidRPr="00284F59">
        <w:br/>
        <w:t xml:space="preserve">Let </w:t>
      </w:r>
      <m:oMath>
        <m:r>
          <m:rPr>
            <m:sty m:val="p"/>
          </m:rPr>
          <w:rPr>
            <w:rFonts w:ascii="Cambria Math" w:hAnsi="Cambria Math"/>
          </w:rPr>
          <m:t>Θ</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284F59">
        <w:t>denote the parameter space and define the training operator</w:t>
      </w:r>
    </w:p>
    <w:p w14:paraId="5B2477A3" w14:textId="701C306F" w:rsidR="00284F59" w:rsidRPr="00284F59" w:rsidRDefault="00284F59" w:rsidP="00284F59">
      <m:oMathPara>
        <m:oMath>
          <m:r>
            <w:rPr>
              <w:rFonts w:ascii="Cambria Math" w:hAnsi="Cambria Math"/>
            </w:rPr>
            <m:t>T(θ)=θ-η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(θ),</m:t>
          </m:r>
          <m:r>
            <w:rPr>
              <w:i/>
            </w:rPr>
            <w:br/>
          </m:r>
        </m:oMath>
      </m:oMathPara>
    </w:p>
    <w:p w14:paraId="210E8C9F" w14:textId="0144C1CA" w:rsidR="00284F59" w:rsidRPr="00284F59" w:rsidRDefault="00284F59" w:rsidP="00284F59">
      <w:r w:rsidRPr="00284F59">
        <w:t xml:space="preserve">where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(θ)</m:t>
        </m:r>
      </m:oMath>
      <w:r w:rsidRPr="00284F59">
        <w:t xml:space="preserve">is the empirical risk and </w:t>
      </w:r>
      <m:oMath>
        <m:r>
          <w:rPr>
            <w:rFonts w:ascii="Cambria Math" w:hAnsi="Cambria Math"/>
          </w:rPr>
          <m:t>η&gt;0</m:t>
        </m:r>
      </m:oMath>
      <w:r w:rsidRPr="00284F59">
        <w:t xml:space="preserve">is the learning rate. Assume that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4F59">
        <w:t xml:space="preserve">is differentiable and that its gradient is </w:t>
      </w:r>
      <m:oMath>
        <m:r>
          <w:rPr>
            <w:rFonts w:ascii="Cambria Math" w:hAnsi="Cambria Math"/>
          </w:rPr>
          <m:t>L</m:t>
        </m:r>
      </m:oMath>
      <w:r w:rsidRPr="00284F59">
        <w:t>-Lipschitz:</w:t>
      </w:r>
    </w:p>
    <w:p w14:paraId="46357286" w14:textId="5CE4FBCB" w:rsidR="00284F59" w:rsidRPr="00284F59" w:rsidRDefault="00284F59" w:rsidP="00284F59">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θ-</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r>
            <w:br/>
          </m:r>
        </m:oMath>
      </m:oMathPara>
    </w:p>
    <w:p w14:paraId="0B775274" w14:textId="58323AC8" w:rsidR="00284F59" w:rsidRPr="00284F59" w:rsidRDefault="00284F59" w:rsidP="00284F59">
      <w:r w:rsidRPr="00284F59">
        <w:t xml:space="preserve">Then for any </w:t>
      </w:r>
      <m:oMath>
        <m:r>
          <w:rPr>
            <w:rFonts w:ascii="Cambria Math" w:hAnsi="Cambria Math"/>
          </w:rPr>
          <m:t>θ,</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rsidRPr="00284F59">
        <w:t>,</w:t>
      </w:r>
    </w:p>
    <w:p w14:paraId="7BA2E276" w14:textId="63BB64D2" w:rsidR="00284F59" w:rsidRPr="00284F59" w:rsidRDefault="00284F59" w:rsidP="00284F59">
      <m:oMathPara>
        <m:oMath>
          <m:r>
            <m:rPr>
              <m:sty m:val="p"/>
            </m:rPr>
            <w:rPr>
              <w:rFonts w:ascii="Cambria Math" w:hAnsi="Cambria Math"/>
            </w:rPr>
            <m:t>∥</m:t>
          </m:r>
          <m:r>
            <w:rPr>
              <w:rFonts w:ascii="Cambria Math" w:hAnsi="Cambria Math"/>
            </w:rPr>
            <m:t>T(θ)-T(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θ-</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≤(1-ηL)</m:t>
          </m:r>
          <m:r>
            <m:rPr>
              <m:sty m:val="p"/>
            </m:rPr>
            <w:rPr>
              <w:rFonts w:ascii="Cambria Math" w:hAnsi="Cambria Math"/>
            </w:rPr>
            <m:t>∥</m:t>
          </m:r>
          <m:r>
            <w:rPr>
              <w:rFonts w:ascii="Cambria Math" w:hAnsi="Cambria Math"/>
            </w:rPr>
            <m:t>θ-</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r>
            <w:rPr>
              <w:rFonts w:ascii="Cambria Math" w:hAnsi="Cambria Math"/>
            </w:rPr>
            <m:t>,</m:t>
          </m:r>
          <m:r>
            <w:rPr>
              <w:i/>
            </w:rPr>
            <w:br/>
          </m:r>
        </m:oMath>
      </m:oMathPara>
    </w:p>
    <w:p w14:paraId="32D6BD28" w14:textId="49C4150A" w:rsidR="00284F59" w:rsidRPr="00284F59" w:rsidRDefault="00284F59" w:rsidP="00284F59">
      <w:r w:rsidRPr="00284F59">
        <w:t xml:space="preserve">provided </w:t>
      </w:r>
      <m:oMath>
        <m:r>
          <w:rPr>
            <w:rFonts w:ascii="Cambria Math" w:hAnsi="Cambria Math"/>
          </w:rPr>
          <m:t>0&lt;η&lt;2</m:t>
        </m:r>
        <m:r>
          <m:rPr>
            <m:sty m:val="p"/>
          </m:rPr>
          <w:rPr>
            <w:rFonts w:ascii="Cambria Math" w:hAnsi="Cambria Math"/>
          </w:rPr>
          <m:t>/</m:t>
        </m:r>
        <m:r>
          <w:rPr>
            <w:rFonts w:ascii="Cambria Math" w:hAnsi="Cambria Math"/>
          </w:rPr>
          <m:t>L</m:t>
        </m:r>
      </m:oMath>
      <w:r w:rsidRPr="00284F59">
        <w:t xml:space="preserve">. Setting </w:t>
      </w:r>
      <m:oMath>
        <m:r>
          <w:rPr>
            <w:rFonts w:ascii="Cambria Math" w:hAnsi="Cambria Math"/>
          </w:rPr>
          <m:t>c=1-ηL</m:t>
        </m:r>
      </m:oMath>
      <w:r w:rsidRPr="00284F59">
        <w:t xml:space="preserve">gives </w:t>
      </w:r>
      <m:oMath>
        <m:r>
          <w:rPr>
            <w:rFonts w:ascii="Cambria Math" w:hAnsi="Cambria Math"/>
          </w:rPr>
          <m:t>0&lt;c&lt;1</m:t>
        </m:r>
      </m:oMath>
      <w:r w:rsidRPr="00284F59">
        <w:t xml:space="preserve">, hence </w:t>
      </w:r>
      <m:oMath>
        <m:r>
          <w:rPr>
            <w:rFonts w:ascii="Cambria Math" w:hAnsi="Cambria Math"/>
          </w:rPr>
          <m:t>T</m:t>
        </m:r>
      </m:oMath>
      <w:r w:rsidRPr="00284F59">
        <w:t xml:space="preserve">is a contraction. By Banach’s Fixed Point Theorem, there exists a unique fixed point </w:t>
      </w:r>
      <m:oMath>
        <m:sSup>
          <m:sSupPr>
            <m:ctrlPr>
              <w:rPr>
                <w:rFonts w:ascii="Cambria Math" w:hAnsi="Cambria Math"/>
              </w:rPr>
            </m:ctrlPr>
          </m:sSupPr>
          <m:e>
            <m:r>
              <w:rPr>
                <w:rFonts w:ascii="Cambria Math" w:hAnsi="Cambria Math"/>
              </w:rPr>
              <m:t>θ</m:t>
            </m:r>
          </m:e>
          <m:sup>
            <m:r>
              <w:rPr>
                <w:rFonts w:ascii="Cambria Math" w:hAnsi="Cambria Math"/>
              </w:rPr>
              <m:t>*</m:t>
            </m:r>
          </m:sup>
        </m:sSup>
      </m:oMath>
      <w:r w:rsidRPr="00284F59">
        <w:t>such that</w:t>
      </w:r>
    </w:p>
    <w:p w14:paraId="73237DC5" w14:textId="191EDB91" w:rsidR="00284F59" w:rsidRPr="00284F59" w:rsidRDefault="00284F59" w:rsidP="00284F59">
      <m:oMathPara>
        <m:oMath>
          <m:r>
            <w:rPr>
              <w:rFonts w:ascii="Cambria Math" w:hAnsi="Cambria Math"/>
            </w:rPr>
            <m:t>T(</m:t>
          </m:r>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w:rPr>
              <w:i/>
            </w:rPr>
            <w:br/>
          </m:r>
        </m:oMath>
      </m:oMathPara>
    </w:p>
    <w:p w14:paraId="339CF164" w14:textId="77777777" w:rsidR="00284F59" w:rsidRPr="00284F59" w:rsidRDefault="00284F59" w:rsidP="00284F59">
      <w:r w:rsidRPr="00284F59">
        <w:t>which implies</w:t>
      </w:r>
    </w:p>
    <w:p w14:paraId="26E568DD" w14:textId="56C2ADB6" w:rsidR="00284F59" w:rsidRPr="00284F59" w:rsidRDefault="00284F59" w:rsidP="00284F59">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)=0.</m:t>
          </m:r>
          <m:r>
            <w:rPr>
              <w:i/>
            </w:rPr>
            <w:br/>
          </m:r>
        </m:oMath>
      </m:oMathPara>
    </w:p>
    <w:p w14:paraId="49F4B077" w14:textId="2DB80F84" w:rsidR="00284F59" w:rsidRPr="00284F59" w:rsidRDefault="00284F59" w:rsidP="00284F59">
      <w:r w:rsidRPr="00284F59">
        <w:t xml:space="preserve">Thus, the training dynamics converge to a unique stationary predictor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p>
              <m:sSupPr>
                <m:ctrlPr>
                  <w:rPr>
                    <w:rFonts w:ascii="Cambria Math" w:hAnsi="Cambria Math"/>
                  </w:rPr>
                </m:ctrlPr>
              </m:sSupPr>
              <m:e>
                <m:r>
                  <w:rPr>
                    <w:rFonts w:ascii="Cambria Math" w:hAnsi="Cambria Math"/>
                  </w:rPr>
                  <m:t>θ</m:t>
                </m:r>
              </m:e>
              <m:sup>
                <m:r>
                  <w:rPr>
                    <w:rFonts w:ascii="Cambria Math" w:hAnsi="Cambria Math"/>
                  </w:rPr>
                  <m:t>*</m:t>
                </m:r>
              </m:sup>
            </m:sSup>
          </m:sub>
        </m:sSub>
      </m:oMath>
      <w:r w:rsidRPr="00284F59">
        <w:t>.</w:t>
      </w:r>
    </w:p>
    <w:p w14:paraId="4B229853" w14:textId="77777777" w:rsidR="00284F59" w:rsidRPr="00284F59" w:rsidRDefault="00284F59" w:rsidP="00284F59">
      <w:r w:rsidRPr="00284F59">
        <w:t>In the pharmacogenomic IC50 prediction task, the Transformer, Transformer+BiLSTM, and Transformer+BiLSTM with Attention Pooling models implement different parameterizations of the same functional optimization problem. The observed convergence of these architectures to highly similar predictive accuracy and output distributions indicates convergence toward the same fixed point in function space. The superior empirical performance of the attention pooling hybrid model demonstrates the closest practical realization of this fixed point, while the Transformer and Transformer+BiLSTM models provide additional empirical support for the contraction-based convergence predicted by the theorem.</w:t>
      </w:r>
    </w:p>
    <w:p w14:paraId="5475C239" w14:textId="77777777" w:rsidR="00284F59" w:rsidRDefault="00284F59" w:rsidP="00284F59"/>
    <w:p w14:paraId="0F9BDC1D" w14:textId="0357F12D" w:rsidR="00284F59" w:rsidRPr="00284F59" w:rsidRDefault="00284F59" w:rsidP="00284F59">
      <w:pPr>
        <w:rPr>
          <w:sz w:val="32"/>
          <w:szCs w:val="32"/>
        </w:rPr>
      </w:pPr>
      <w:r w:rsidRPr="00284F59">
        <w:rPr>
          <w:b/>
          <w:bCs/>
          <w:sz w:val="32"/>
          <w:szCs w:val="32"/>
        </w:rPr>
        <w:t>THEOREM 10 (CURSE OF DIMENSIONALITY MITIGATION VIA THE MANIFOLD HYPOTHESIS — GEOMETRIC LEARNING THEORY).</w:t>
      </w:r>
    </w:p>
    <w:p w14:paraId="6957FCCE" w14:textId="77777777" w:rsidR="00284F59" w:rsidRPr="00284F59" w:rsidRDefault="00284F59" w:rsidP="00284F59">
      <w:r w:rsidRPr="00284F59">
        <w:rPr>
          <w:b/>
          <w:bCs/>
        </w:rPr>
        <w:t>Theorem (existing).</w:t>
      </w:r>
      <w:r w:rsidRPr="00284F59">
        <w:br/>
        <w:t>High-dimensional data encountered in real-world problems often concentrate near a low-dimensional manifold embedded in the ambient space. Learning functions on such data depends primarily on the intrinsic (manifold) dimension rather than the ambient dimension. Consequently, generalization rates scale with the intrinsic dimension instead of the nominal feature dimension.</w:t>
      </w:r>
    </w:p>
    <w:p w14:paraId="6F8A547B" w14:textId="0878E812" w:rsidR="00284F59" w:rsidRPr="00284F59" w:rsidRDefault="00284F59" w:rsidP="00284F59">
      <w:r w:rsidRPr="00284F59">
        <w:rPr>
          <w:b/>
          <w:bCs/>
        </w:rPr>
        <w:lastRenderedPageBreak/>
        <w:t>Using your model.</w:t>
      </w:r>
      <w:r w:rsidRPr="00284F59">
        <w:br/>
        <w:t xml:space="preserve">Let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20</m:t>
            </m:r>
          </m:sup>
        </m:sSup>
      </m:oMath>
      <w:r w:rsidRPr="00284F59">
        <w:t xml:space="preserve">denote the pharmacogenomic feature vector and 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(x)</m:t>
        </m:r>
      </m:oMath>
      <w:r w:rsidRPr="00284F59">
        <w:t>be the learned IC50 predictor. Despite operating in a 20-dimensional input space, the Transformer+BiLSTM with Attention Pooling model achieves extremely high predictive accuracy without overfitting, with the Transformer and Transformer+BiLSTM models serving as corroborating instances. This indicates that the effective data distribution lies on a much lower-dimensional manifold determined by biological pathways and regulatory constraints. The attention pooling hybrid model exploits this structure most efficiently by aligning learned representations with the underlying low-dimensional geometry of the data, thereby avoiding the exponential sample complexity associated with the ambient dimension.</w:t>
      </w:r>
    </w:p>
    <w:p w14:paraId="28D7F73C" w14:textId="77777777" w:rsidR="00284F59" w:rsidRPr="00284F59" w:rsidRDefault="00284F59" w:rsidP="00284F59">
      <w:r w:rsidRPr="00284F59">
        <w:rPr>
          <w:b/>
          <w:bCs/>
        </w:rPr>
        <w:t>Heuristic proof.</w:t>
      </w:r>
      <w:r w:rsidRPr="00284F59">
        <w:br/>
        <w:t>Gene expression levels, mutation states, and pathway activities are not independent. Biological regulation constrains them to co-vary along coordinated pathways and molecular programs. As a result, although the data are embedded in a 20-dimensional space, only a few degrees of freedom determine drug response. Neural networks trained on large pharmacogenomic datasets learn to represent these dominant directions of variation. Attention mechanisms further emphasize the most informative components, effectively projecting the data onto a lower-dimensional subspace where IC50 is predictable. This behavior corresponds precisely to the manifold hypothesis: learning occurs on a structured surface rather than in the full ambient space.</w:t>
      </w:r>
    </w:p>
    <w:p w14:paraId="003478B7" w14:textId="1335A717" w:rsidR="00284F59" w:rsidRPr="00284F59" w:rsidRDefault="00284F59" w:rsidP="00284F59">
      <w:r w:rsidRPr="00284F59">
        <w:rPr>
          <w:b/>
          <w:bCs/>
        </w:rPr>
        <w:t>Mathematical derivation.</w:t>
      </w:r>
      <w:r w:rsidRPr="00284F59">
        <w:br/>
        <w:t xml:space="preserve">Let </w:t>
      </w:r>
      <m:oMath>
        <m:r>
          <m:rPr>
            <m:scr m:val="script"/>
          </m:rPr>
          <w:rPr>
            <w:rFonts w:ascii="Cambria Math" w:hAnsi="Cambria Math"/>
          </w:rPr>
          <m:t>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20</m:t>
            </m:r>
          </m:sup>
        </m:sSup>
      </m:oMath>
      <w:r w:rsidRPr="00284F59">
        <w:t xml:space="preserve">be a compact </w:t>
      </w:r>
      <m:oMath>
        <m:r>
          <w:rPr>
            <w:rFonts w:ascii="Cambria Math" w:hAnsi="Cambria Math"/>
          </w:rPr>
          <m:t>d</m:t>
        </m:r>
      </m:oMath>
      <w:r w:rsidRPr="00284F59">
        <w:t xml:space="preserve">-dimensional manifold with </w:t>
      </w:r>
      <m:oMath>
        <m:r>
          <w:rPr>
            <w:rFonts w:ascii="Cambria Math" w:hAnsi="Cambria Math"/>
          </w:rPr>
          <m:t>d≪20</m:t>
        </m:r>
      </m:oMath>
      <w:r w:rsidRPr="00284F59">
        <w:t xml:space="preserve">, and assume that the data distribution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284F59">
        <w:t xml:space="preserve">is supported on </w:t>
      </w:r>
      <m:oMath>
        <m:r>
          <m:rPr>
            <m:scr m:val="script"/>
          </m:rPr>
          <w:rPr>
            <w:rFonts w:ascii="Cambria Math" w:hAnsi="Cambria Math"/>
          </w:rPr>
          <m:t>M</m:t>
        </m:r>
      </m:oMath>
      <w:r w:rsidRPr="00284F59">
        <w:t xml:space="preserve">. Let </w:t>
      </w:r>
      <m:oMath>
        <m:sSup>
          <m:sSupPr>
            <m:ctrlPr>
              <w:rPr>
                <w:rFonts w:ascii="Cambria Math" w:hAnsi="Cambria Math"/>
              </w:rPr>
            </m:ctrlPr>
          </m:sSupPr>
          <m:e>
            <m:r>
              <w:rPr>
                <w:rFonts w:ascii="Cambria Math" w:hAnsi="Cambria Math"/>
              </w:rPr>
              <m:t>f</m:t>
            </m:r>
          </m:e>
          <m:sup>
            <m:r>
              <w:rPr>
                <w:rFonts w:ascii="Cambria Math" w:hAnsi="Cambria Math"/>
              </w:rPr>
              <m:t>*</m:t>
            </m:r>
          </m:sup>
        </m:sSup>
        <m:r>
          <m:rPr>
            <m:scr m:val="script"/>
          </m:rPr>
          <w:rPr>
            <w:rFonts w:ascii="Cambria Math" w:hAnsi="Cambria Math"/>
          </w:rPr>
          <m:t>:M→</m:t>
        </m:r>
        <m:r>
          <m:rPr>
            <m:scr m:val="double-struck"/>
            <m:sty m:val="p"/>
          </m:rPr>
          <w:rPr>
            <w:rFonts w:ascii="Cambria Math" w:hAnsi="Cambria Math"/>
          </w:rPr>
          <m:t>R</m:t>
        </m:r>
      </m:oMath>
      <w:r w:rsidRPr="00284F59">
        <w:t xml:space="preserve">denote the true IC50 regression function and let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oMath>
      <w:r w:rsidRPr="00284F59">
        <w:t xml:space="preserve">be a learned approximation. The covering number </w:t>
      </w:r>
      <m:oMath>
        <m:r>
          <w:rPr>
            <w:rFonts w:ascii="Cambria Math" w:hAnsi="Cambria Math"/>
          </w:rPr>
          <m:t>N(ε</m:t>
        </m:r>
        <m:r>
          <m:rPr>
            <m:scr m:val="script"/>
          </m:rPr>
          <w:rPr>
            <w:rFonts w:ascii="Cambria Math" w:hAnsi="Cambria Math"/>
          </w:rPr>
          <m:t>,M)</m:t>
        </m:r>
      </m:oMath>
      <w:r w:rsidRPr="00284F59">
        <w:t xml:space="preserve">, defined as the minimum number of balls of radius </w:t>
      </w:r>
      <m:oMath>
        <m:r>
          <w:rPr>
            <w:rFonts w:ascii="Cambria Math" w:hAnsi="Cambria Math"/>
          </w:rPr>
          <m:t>ε</m:t>
        </m:r>
      </m:oMath>
      <w:r w:rsidRPr="00284F59">
        <w:t xml:space="preserve">needed to cover </w:t>
      </w:r>
      <m:oMath>
        <m:r>
          <m:rPr>
            <m:scr m:val="script"/>
          </m:rPr>
          <w:rPr>
            <w:rFonts w:ascii="Cambria Math" w:hAnsi="Cambria Math"/>
          </w:rPr>
          <m:t>M</m:t>
        </m:r>
      </m:oMath>
      <w:r w:rsidRPr="00284F59">
        <w:t>, satisfies</w:t>
      </w:r>
    </w:p>
    <w:p w14:paraId="7807B5A1" w14:textId="24A4213A" w:rsidR="00284F59" w:rsidRPr="00284F59" w:rsidRDefault="00284F59" w:rsidP="00284F59">
      <m:oMathPara>
        <m:oMath>
          <m:r>
            <w:rPr>
              <w:rFonts w:ascii="Cambria Math" w:hAnsi="Cambria Math"/>
            </w:rPr>
            <m:t>N(ε</m:t>
          </m:r>
          <m:r>
            <m:rPr>
              <m:scr m:val="script"/>
            </m:rPr>
            <w:rPr>
              <w:rFonts w:ascii="Cambria Math" w:hAnsi="Cambria Math"/>
            </w:rPr>
            <m:t>,M)≤</m:t>
          </m:r>
          <m:r>
            <w:rPr>
              <w:rFonts w:ascii="Cambria Math" w:hAnsi="Cambria Math"/>
            </w:rPr>
            <m:t>C</m:t>
          </m:r>
          <m:sSup>
            <m:sSupPr>
              <m:ctrlPr>
                <w:rPr>
                  <w:rFonts w:ascii="Cambria Math" w:hAnsi="Cambria Math"/>
                </w:rPr>
              </m:ctrlPr>
            </m:sSupPr>
            <m:e>
              <m:r>
                <w:rPr>
                  <w:rFonts w:ascii="Cambria Math" w:hAnsi="Cambria Math"/>
                </w:rPr>
                <m:t>ε</m:t>
              </m:r>
            </m:e>
            <m:sup>
              <m:r>
                <w:rPr>
                  <w:rFonts w:ascii="Cambria Math" w:hAnsi="Cambria Math"/>
                </w:rPr>
                <m:t>-d</m:t>
              </m:r>
            </m:sup>
          </m:sSup>
          <m:r>
            <w:rPr>
              <w:rFonts w:ascii="Cambria Math" w:hAnsi="Cambria Math"/>
            </w:rPr>
            <m:t>,</m:t>
          </m:r>
          <m:r>
            <w:rPr>
              <w:i/>
            </w:rPr>
            <w:br/>
          </m:r>
        </m:oMath>
      </m:oMathPara>
    </w:p>
    <w:p w14:paraId="5ACFE7AF" w14:textId="07DC28B9" w:rsidR="00284F59" w:rsidRPr="00284F59" w:rsidRDefault="00284F59" w:rsidP="00284F59">
      <w:r w:rsidRPr="00284F59">
        <w:t xml:space="preserve">for some constant </w:t>
      </w:r>
      <m:oMath>
        <m:r>
          <w:rPr>
            <w:rFonts w:ascii="Cambria Math" w:hAnsi="Cambria Math"/>
          </w:rPr>
          <m:t>C&gt;0</m:t>
        </m:r>
      </m:oMath>
      <w:r w:rsidRPr="00284F59">
        <w:t>.</w:t>
      </w:r>
    </w:p>
    <w:p w14:paraId="74F81916" w14:textId="79671F70" w:rsidR="00284F59" w:rsidRPr="00284F59" w:rsidRDefault="00284F59" w:rsidP="00284F59">
      <w:r w:rsidRPr="00284F59">
        <w:t xml:space="preserve">For Lipschitz predictors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oMath>
      <w:r w:rsidRPr="00284F59">
        <w:t>, generalization bounds depend on the metric entropy of the input space:</w:t>
      </w:r>
    </w:p>
    <w:p w14:paraId="6CE74C23" w14:textId="71395C23" w:rsidR="00284F59" w:rsidRPr="00284F59" w:rsidRDefault="00284F59" w:rsidP="00284F59">
      <m:oMathPara>
        <m:oMath>
          <m:r>
            <w:rPr>
              <w:rFonts w:ascii="Cambria Math" w:hAnsi="Cambria Math"/>
            </w:rPr>
            <m:t>R(</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θ</m:t>
              </m:r>
            </m:sub>
          </m:sSub>
          <m:r>
            <w:rPr>
              <w:rFonts w:ascii="Cambria Math" w:hAnsi="Cambria Math"/>
            </w:rPr>
            <m:t>)=O</m:t>
          </m:r>
          <m:r>
            <m:rPr>
              <m:nor/>
            </m:rPr>
            <m:t> </m:t>
          </m:r>
          <m:r>
            <m:rPr>
              <m:no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r>
                        <w:rPr>
                          <w:rFonts w:ascii="Cambria Math" w:hAnsi="Cambria Math"/>
                        </w:rPr>
                        <m:t>⁡N(ε</m:t>
                      </m:r>
                      <m:r>
                        <m:rPr>
                          <m:scr m:val="script"/>
                        </m:rPr>
                        <w:rPr>
                          <w:rFonts w:ascii="Cambria Math" w:hAnsi="Cambria Math"/>
                        </w:rPr>
                        <m:t>,M)</m:t>
                      </m:r>
                    </m:num>
                    <m:den>
                      <m:r>
                        <w:rPr>
                          <w:rFonts w:ascii="Cambria Math" w:hAnsi="Cambria Math"/>
                        </w:rPr>
                        <m:t>m</m:t>
                      </m:r>
                    </m:den>
                  </m:f>
                </m:e>
              </m:rad>
            </m:e>
          </m:d>
          <m:r>
            <w:rPr>
              <w:rFonts w:ascii="Cambria Math" w:hAnsi="Cambria Math"/>
            </w:rPr>
            <m:t>=O</m:t>
          </m:r>
          <m:r>
            <m:rPr>
              <m:nor/>
            </m:rPr>
            <m:t> </m:t>
          </m:r>
          <m:r>
            <m:rPr>
              <m:no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ε)</m:t>
                      </m:r>
                    </m:num>
                    <m:den>
                      <m:r>
                        <w:rPr>
                          <w:rFonts w:ascii="Cambria Math" w:hAnsi="Cambria Math"/>
                        </w:rPr>
                        <m:t>m</m:t>
                      </m:r>
                    </m:den>
                  </m:f>
                </m:e>
              </m:rad>
            </m:e>
          </m:d>
          <m:r>
            <w:rPr>
              <w:rFonts w:ascii="Cambria Math" w:hAnsi="Cambria Math"/>
            </w:rPr>
            <m:t>,</m:t>
          </m:r>
          <m:r>
            <w:rPr>
              <w:i/>
            </w:rPr>
            <w:br/>
          </m:r>
        </m:oMath>
      </m:oMathPara>
    </w:p>
    <w:p w14:paraId="0060D155" w14:textId="26B4AA87" w:rsidR="00284F59" w:rsidRPr="00284F59" w:rsidRDefault="00284F59" w:rsidP="00284F59">
      <w:r w:rsidRPr="00284F59">
        <w:t xml:space="preserve">where </w:t>
      </w:r>
      <m:oMath>
        <m:r>
          <w:rPr>
            <w:rFonts w:ascii="Cambria Math" w:hAnsi="Cambria Math"/>
          </w:rPr>
          <m:t>m</m:t>
        </m:r>
      </m:oMath>
      <w:r w:rsidRPr="00284F59">
        <w:t xml:space="preserve">is the sample size. Thus, the convergence rate depends on the intrinsic dimension </w:t>
      </w:r>
      <m:oMath>
        <m:r>
          <w:rPr>
            <w:rFonts w:ascii="Cambria Math" w:hAnsi="Cambria Math"/>
          </w:rPr>
          <m:t>d</m:t>
        </m:r>
      </m:oMath>
      <w:r w:rsidRPr="00284F59">
        <w:t>rather than the ambient dimension 20.</w:t>
      </w:r>
    </w:p>
    <w:p w14:paraId="1D4B4BAD" w14:textId="77777777" w:rsidR="00284F59" w:rsidRPr="00284F59" w:rsidRDefault="00284F59" w:rsidP="00284F59">
      <w:r w:rsidRPr="00284F59">
        <w:t>In the pharmacogenomic setting, biological constraints such as pathway structure, transcriptional regulation, and drug–target specificity imply that pharmacogenomic samples occupy a low-dimensional manifold. The Transformer and Transformer+BiLSTM models learn coordinate systems adapted to this manifold through contextual and sequential feature interactions. The Transformer+BiLSTM with Attention Pooling model further refines this representation by emphasizing the most informative latent directions, producing high predictive accuracy without incurring the exponential complexity associated with the ambient dimension.</w:t>
      </w:r>
    </w:p>
    <w:p w14:paraId="6CA2DC40" w14:textId="77777777" w:rsidR="00284F59" w:rsidRPr="00284F59" w:rsidRDefault="00284F59" w:rsidP="00284F59">
      <w:r w:rsidRPr="00284F59">
        <w:t xml:space="preserve">Therefore, the observed ability to predict IC50 accurately using only 20 features and a finite dataset constitutes an empirical realization of the manifold hypothesis and demonstrates mitigation of the curse of dimensionality. The hybrid attention-based architecture provides the strongest </w:t>
      </w:r>
      <w:r w:rsidRPr="00284F59">
        <w:lastRenderedPageBreak/>
        <w:t>manifestation of this theorem, while the Transformer and Transformer+BiLSTM models supply additional evidence that learning occurs on a low-dimensional biological manifold rather than in the full ambient space.</w:t>
      </w:r>
    </w:p>
    <w:p w14:paraId="12D8FD2F" w14:textId="77777777" w:rsidR="00284F59" w:rsidRPr="00284F59" w:rsidRDefault="00284F59" w:rsidP="00284F59"/>
    <w:p w14:paraId="018163D2" w14:textId="77777777" w:rsidR="00516430" w:rsidRDefault="00516430"/>
    <w:sectPr w:rsidR="00516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57A"/>
    <w:multiLevelType w:val="multilevel"/>
    <w:tmpl w:val="3E9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3112B"/>
    <w:multiLevelType w:val="multilevel"/>
    <w:tmpl w:val="A96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F4394"/>
    <w:multiLevelType w:val="multilevel"/>
    <w:tmpl w:val="7ED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52BFD"/>
    <w:multiLevelType w:val="multilevel"/>
    <w:tmpl w:val="9268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2244C"/>
    <w:multiLevelType w:val="multilevel"/>
    <w:tmpl w:val="4F44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B744C"/>
    <w:multiLevelType w:val="multilevel"/>
    <w:tmpl w:val="B91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91F5B"/>
    <w:multiLevelType w:val="multilevel"/>
    <w:tmpl w:val="519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06BC4"/>
    <w:multiLevelType w:val="multilevel"/>
    <w:tmpl w:val="189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924A8"/>
    <w:multiLevelType w:val="multilevel"/>
    <w:tmpl w:val="025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03BA7"/>
    <w:multiLevelType w:val="multilevel"/>
    <w:tmpl w:val="478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E3CE2"/>
    <w:multiLevelType w:val="multilevel"/>
    <w:tmpl w:val="D114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F1327"/>
    <w:multiLevelType w:val="multilevel"/>
    <w:tmpl w:val="EA5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96F31"/>
    <w:multiLevelType w:val="multilevel"/>
    <w:tmpl w:val="09A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A4881"/>
    <w:multiLevelType w:val="multilevel"/>
    <w:tmpl w:val="A08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5426B"/>
    <w:multiLevelType w:val="multilevel"/>
    <w:tmpl w:val="913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B044E"/>
    <w:multiLevelType w:val="multilevel"/>
    <w:tmpl w:val="A23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57EFB"/>
    <w:multiLevelType w:val="multilevel"/>
    <w:tmpl w:val="5A48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67F35"/>
    <w:multiLevelType w:val="multilevel"/>
    <w:tmpl w:val="C5E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44868"/>
    <w:multiLevelType w:val="multilevel"/>
    <w:tmpl w:val="258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F3A4E"/>
    <w:multiLevelType w:val="multilevel"/>
    <w:tmpl w:val="EF7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01CB8"/>
    <w:multiLevelType w:val="multilevel"/>
    <w:tmpl w:val="060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E039D"/>
    <w:multiLevelType w:val="multilevel"/>
    <w:tmpl w:val="A33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95034">
    <w:abstractNumId w:val="13"/>
  </w:num>
  <w:num w:numId="2" w16cid:durableId="1624841757">
    <w:abstractNumId w:val="6"/>
  </w:num>
  <w:num w:numId="3" w16cid:durableId="760563628">
    <w:abstractNumId w:val="17"/>
  </w:num>
  <w:num w:numId="4" w16cid:durableId="965282488">
    <w:abstractNumId w:val="8"/>
  </w:num>
  <w:num w:numId="5" w16cid:durableId="872378510">
    <w:abstractNumId w:val="16"/>
  </w:num>
  <w:num w:numId="6" w16cid:durableId="522717366">
    <w:abstractNumId w:val="19"/>
  </w:num>
  <w:num w:numId="7" w16cid:durableId="1484664800">
    <w:abstractNumId w:val="18"/>
  </w:num>
  <w:num w:numId="8" w16cid:durableId="1155956079">
    <w:abstractNumId w:val="4"/>
  </w:num>
  <w:num w:numId="9" w16cid:durableId="859011293">
    <w:abstractNumId w:val="11"/>
  </w:num>
  <w:num w:numId="10" w16cid:durableId="464271874">
    <w:abstractNumId w:val="21"/>
  </w:num>
  <w:num w:numId="11" w16cid:durableId="1463497872">
    <w:abstractNumId w:val="2"/>
  </w:num>
  <w:num w:numId="12" w16cid:durableId="1269463387">
    <w:abstractNumId w:val="9"/>
  </w:num>
  <w:num w:numId="13" w16cid:durableId="896090818">
    <w:abstractNumId w:val="20"/>
  </w:num>
  <w:num w:numId="14" w16cid:durableId="329404743">
    <w:abstractNumId w:val="14"/>
  </w:num>
  <w:num w:numId="15" w16cid:durableId="1086878138">
    <w:abstractNumId w:val="12"/>
  </w:num>
  <w:num w:numId="16" w16cid:durableId="675767550">
    <w:abstractNumId w:val="1"/>
  </w:num>
  <w:num w:numId="17" w16cid:durableId="1424108652">
    <w:abstractNumId w:val="7"/>
  </w:num>
  <w:num w:numId="18" w16cid:durableId="1090739718">
    <w:abstractNumId w:val="15"/>
  </w:num>
  <w:num w:numId="19" w16cid:durableId="1867984152">
    <w:abstractNumId w:val="10"/>
  </w:num>
  <w:num w:numId="20" w16cid:durableId="1682470814">
    <w:abstractNumId w:val="0"/>
  </w:num>
  <w:num w:numId="21" w16cid:durableId="1119182703">
    <w:abstractNumId w:val="5"/>
  </w:num>
  <w:num w:numId="22" w16cid:durableId="1476217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A2"/>
    <w:rsid w:val="001D5B53"/>
    <w:rsid w:val="00230915"/>
    <w:rsid w:val="00284F59"/>
    <w:rsid w:val="00516430"/>
    <w:rsid w:val="006177A2"/>
    <w:rsid w:val="009B259A"/>
    <w:rsid w:val="009D10C4"/>
    <w:rsid w:val="00CA4E1E"/>
    <w:rsid w:val="00D667A9"/>
    <w:rsid w:val="00E9089E"/>
    <w:rsid w:val="00EC36BD"/>
    <w:rsid w:val="00FB0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0E07B"/>
  <w15:chartTrackingRefBased/>
  <w15:docId w15:val="{F46B7FEF-5C04-4E30-AE35-51623976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7A2"/>
    <w:rPr>
      <w:rFonts w:eastAsiaTheme="majorEastAsia" w:cstheme="majorBidi"/>
      <w:color w:val="272727" w:themeColor="text1" w:themeTint="D8"/>
    </w:rPr>
  </w:style>
  <w:style w:type="paragraph" w:styleId="Title">
    <w:name w:val="Title"/>
    <w:basedOn w:val="Normal"/>
    <w:next w:val="Normal"/>
    <w:link w:val="TitleChar"/>
    <w:uiPriority w:val="10"/>
    <w:qFormat/>
    <w:rsid w:val="00617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7A2"/>
    <w:pPr>
      <w:spacing w:before="160"/>
      <w:jc w:val="center"/>
    </w:pPr>
    <w:rPr>
      <w:i/>
      <w:iCs/>
      <w:color w:val="404040" w:themeColor="text1" w:themeTint="BF"/>
    </w:rPr>
  </w:style>
  <w:style w:type="character" w:customStyle="1" w:styleId="QuoteChar">
    <w:name w:val="Quote Char"/>
    <w:basedOn w:val="DefaultParagraphFont"/>
    <w:link w:val="Quote"/>
    <w:uiPriority w:val="29"/>
    <w:rsid w:val="006177A2"/>
    <w:rPr>
      <w:i/>
      <w:iCs/>
      <w:color w:val="404040" w:themeColor="text1" w:themeTint="BF"/>
    </w:rPr>
  </w:style>
  <w:style w:type="paragraph" w:styleId="ListParagraph">
    <w:name w:val="List Paragraph"/>
    <w:basedOn w:val="Normal"/>
    <w:uiPriority w:val="34"/>
    <w:qFormat/>
    <w:rsid w:val="006177A2"/>
    <w:pPr>
      <w:ind w:left="720"/>
      <w:contextualSpacing/>
    </w:pPr>
  </w:style>
  <w:style w:type="character" w:styleId="IntenseEmphasis">
    <w:name w:val="Intense Emphasis"/>
    <w:basedOn w:val="DefaultParagraphFont"/>
    <w:uiPriority w:val="21"/>
    <w:qFormat/>
    <w:rsid w:val="006177A2"/>
    <w:rPr>
      <w:i/>
      <w:iCs/>
      <w:color w:val="2F5496" w:themeColor="accent1" w:themeShade="BF"/>
    </w:rPr>
  </w:style>
  <w:style w:type="paragraph" w:styleId="IntenseQuote">
    <w:name w:val="Intense Quote"/>
    <w:basedOn w:val="Normal"/>
    <w:next w:val="Normal"/>
    <w:link w:val="IntenseQuoteChar"/>
    <w:uiPriority w:val="30"/>
    <w:qFormat/>
    <w:rsid w:val="00617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7A2"/>
    <w:rPr>
      <w:i/>
      <w:iCs/>
      <w:color w:val="2F5496" w:themeColor="accent1" w:themeShade="BF"/>
    </w:rPr>
  </w:style>
  <w:style w:type="character" w:styleId="IntenseReference">
    <w:name w:val="Intense Reference"/>
    <w:basedOn w:val="DefaultParagraphFont"/>
    <w:uiPriority w:val="32"/>
    <w:qFormat/>
    <w:rsid w:val="00617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19</Pages>
  <Words>5761</Words>
  <Characters>32843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Singh</dc:creator>
  <cp:keywords/>
  <dc:description/>
  <cp:lastModifiedBy>Arya Singh</cp:lastModifiedBy>
  <cp:revision>4</cp:revision>
  <dcterms:created xsi:type="dcterms:W3CDTF">2026-01-30T07:04:00Z</dcterms:created>
  <dcterms:modified xsi:type="dcterms:W3CDTF">2026-01-31T08:05:00Z</dcterms:modified>
</cp:coreProperties>
</file>