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213A"/>
          <w:sz w:val="48"/>
        </w:rPr>
        <w:t>AtliQ Contract Risk Analyzer</w:t>
      </w:r>
    </w:p>
    <w:p>
      <w:pPr>
        <w:spacing w:after="40"/>
      </w:pPr>
      <w:r>
        <w:rPr>
          <w:b w:val="0"/>
          <w:i w:val="0"/>
          <w:color w:val="B5411F"/>
          <w:sz w:val="28"/>
        </w:rPr>
        <w:t>Test Strategy, Coverage Matrix and Onboarding Walkthrough</w:t>
      </w:r>
    </w:p>
    <w:p>
      <w:pPr>
        <w:spacing w:after="280"/>
      </w:pPr>
      <w:r>
        <w:rPr>
          <w:b w:val="0"/>
          <w:i/>
          <w:color w:val="595959"/>
          <w:sz w:val="18"/>
        </w:rPr>
        <w:t>Capstone 2  ·  Codebasics LIVE AI PM Cohort 2  ·  Pancham Lohumi  ·  13 October 2026</w:t>
      </w:r>
    </w:p>
    <w:p>
      <w:pPr>
        <w:pStyle w:val="Heading1"/>
      </w:pPr>
      <w:r>
        <w:rPr>
          <w:color w:val="16213A"/>
        </w:rPr>
        <w:t>1. What this document is for</w:t>
      </w:r>
    </w:p>
    <w:p>
      <w:pPr>
        <w:spacing w:after="120"/>
      </w:pPr>
      <w:r>
        <w:rPr>
          <w:b w:val="0"/>
          <w:i w:val="0"/>
          <w:sz w:val="20"/>
        </w:rPr>
        <w:t>Two jobs in one document.</w:t>
      </w:r>
    </w:p>
    <w:p>
      <w:pPr>
        <w:pStyle w:val="ListBullet"/>
        <w:spacing w:after="40"/>
      </w:pPr>
      <w:r>
        <w:rPr>
          <w:b/>
          <w:sz w:val="20"/>
        </w:rPr>
        <w:t>As a test strategy</w:t>
      </w:r>
      <w:r>
        <w:rPr>
          <w:b w:val="0"/>
          <w:sz w:val="20"/>
        </w:rPr>
        <w:t xml:space="preserve"> it states what the system is supposed to do, how each behaviour is verified, and which behaviours cannot be verified by a fixed expected-result test.</w:t>
      </w:r>
    </w:p>
    <w:p>
      <w:pPr>
        <w:pStyle w:val="ListBullet"/>
        <w:spacing w:after="40"/>
      </w:pPr>
      <w:r>
        <w:rPr>
          <w:b/>
          <w:sz w:val="20"/>
        </w:rPr>
        <w:t>As an onboarding walkthrough</w:t>
      </w:r>
      <w:r>
        <w:rPr>
          <w:b w:val="0"/>
          <w:sz w:val="20"/>
        </w:rPr>
        <w:t xml:space="preserve"> it takes every contract in the demo queue in turn and says what you should see when you select it, and why. Working through it end to end is the fastest way to understand the product.</w:t>
      </w:r>
    </w:p>
    <w:p>
      <w:pPr>
        <w:spacing w:after="200"/>
      </w:pPr>
      <w:r>
        <w:rPr>
          <w:b w:val="0"/>
          <w:i/>
          <w:sz w:val="20"/>
        </w:rPr>
        <w:t>Read section 5 with the application open beside you.</w:t>
      </w:r>
    </w:p>
    <w:p>
      <w:pPr>
        <w:pStyle w:val="Heading1"/>
      </w:pPr>
      <w:r>
        <w:rPr>
          <w:color w:val="16213A"/>
        </w:rPr>
        <w:t>2. What the system actually does</w:t>
      </w:r>
    </w:p>
    <w:p>
      <w:pPr>
        <w:spacing w:after="120"/>
      </w:pPr>
      <w:r>
        <w:rPr>
          <w:b w:val="0"/>
          <w:i w:val="0"/>
          <w:sz w:val="20"/>
        </w:rPr>
        <w:t>AtliQ is a data and AI consultancy. Its CEO, Karandeep, personally reviews and signs every client and partner contract. There is no legal team. The thing he most needs to know when a new contract arrives is whether it collides with something AtliQ has already promised somebody else — and no record of those promises has ever existed.</w:t>
      </w:r>
    </w:p>
    <w:p>
      <w:pPr>
        <w:spacing w:after="160"/>
      </w:pPr>
      <w:r>
        <w:rPr>
          <w:b/>
          <w:i w:val="0"/>
          <w:sz w:val="20"/>
        </w:rPr>
        <w:t>The system builds that record, then checks each new draft against it.</w:t>
      </w:r>
    </w:p>
    <w:p>
      <w:pPr>
        <w:pStyle w:val="Heading2"/>
      </w:pPr>
      <w:r>
        <w:rPr>
          <w:color w:val="16213A"/>
        </w:rPr>
        <w:t>2.1 The two records it builds</w:t>
      </w:r>
    </w:p>
    <w:tbl>
      <w:tblPr>
        <w:tblStyle w:val="TableGrid"/>
        <w:tblW w:type="auto" w:w="0"/>
        <w:jc w:val="center"/>
        <w:tblLook w:firstColumn="1" w:firstRow="1" w:lastColumn="0" w:lastRow="0" w:noHBand="0" w:noVBand="1" w:val="04A0"/>
      </w:tblPr>
      <w:tblGrid>
        <w:gridCol w:w="3408"/>
        <w:gridCol w:w="3408"/>
        <w:gridCol w:w="3408"/>
      </w:tblGrid>
      <w:tr>
        <w:tc>
          <w:tcPr>
            <w:tcW w:type="dxa" w:w="1872"/>
          </w:tcPr>
          <w:p>
            <w:r/>
            <w:r>
              <w:rPr>
                <w:b/>
                <w:color w:val="16213A"/>
                <w:sz w:val="17"/>
              </w:rPr>
              <w:t>Record</w:t>
            </w:r>
          </w:p>
        </w:tc>
        <w:tc>
          <w:tcPr>
            <w:tcW w:type="dxa" w:w="4176"/>
          </w:tcPr>
          <w:p>
            <w:r/>
            <w:r>
              <w:rPr>
                <w:b/>
                <w:color w:val="16213A"/>
                <w:sz w:val="17"/>
              </w:rPr>
              <w:t>What it holds</w:t>
            </w:r>
          </w:p>
        </w:tc>
        <w:tc>
          <w:tcPr>
            <w:tcW w:type="dxa" w:w="4320"/>
          </w:tcPr>
          <w:p>
            <w:r/>
            <w:r>
              <w:rPr>
                <w:b/>
                <w:color w:val="16213A"/>
                <w:sz w:val="17"/>
              </w:rPr>
              <w:t>Why it matters</w:t>
            </w:r>
          </w:p>
        </w:tc>
      </w:tr>
      <w:tr>
        <w:tc>
          <w:tcPr>
            <w:tcW w:type="dxa" w:w="1872"/>
          </w:tcPr>
          <w:p>
            <w:pPr>
              <w:spacing w:after="20"/>
            </w:pPr>
            <w:r/>
            <w:r>
              <w:rPr>
                <w:b w:val="0"/>
                <w:sz w:val="17"/>
              </w:rPr>
              <w:t>Commitments register</w:t>
            </w:r>
          </w:p>
          <w:p>
            <w:pPr>
              <w:spacing w:after="20"/>
            </w:pPr>
            <w:r>
              <w:rPr>
                <w:b w:val="0"/>
                <w:sz w:val="17"/>
              </w:rPr>
              <w:t>(13 entries)</w:t>
            </w:r>
          </w:p>
        </w:tc>
        <w:tc>
          <w:tcPr>
            <w:tcW w:type="dxa" w:w="4176"/>
          </w:tcPr>
          <w:p>
            <w:pPr>
              <w:spacing w:after="20"/>
            </w:pPr>
            <w:r/>
            <w:r>
              <w:rPr>
                <w:b w:val="0"/>
                <w:sz w:val="17"/>
              </w:rPr>
              <w:t>Every promise AtliQ has made across 17 signed contracts: non-competes, exclusivity, most-favoured pricing, IP signed away, data restrictions. Each entry carries the source file, the clause number, a word-for-word quote, and TWO dates.</w:t>
            </w:r>
          </w:p>
        </w:tc>
        <w:tc>
          <w:tcPr>
            <w:tcW w:type="dxa" w:w="4320"/>
          </w:tcPr>
          <w:p>
            <w:pPr>
              <w:spacing w:after="20"/>
            </w:pPr>
            <w:r/>
            <w:r>
              <w:rPr>
                <w:b w:val="0"/>
                <w:sz w:val="17"/>
              </w:rPr>
              <w:t>The two dates are the point. A contract ending and its obligations ending are different events. Al Noor's agreement expires 14 Mar 2028; its non-compete runs to 14 Sep 2029.</w:t>
            </w:r>
          </w:p>
        </w:tc>
      </w:tr>
      <w:tr>
        <w:tc>
          <w:tcPr>
            <w:tcW w:type="dxa" w:w="1872"/>
          </w:tcPr>
          <w:p>
            <w:pPr>
              <w:spacing w:after="20"/>
            </w:pPr>
            <w:r/>
            <w:r>
              <w:rPr>
                <w:b w:val="0"/>
                <w:sz w:val="17"/>
              </w:rPr>
              <w:t>Derived playbook</w:t>
            </w:r>
          </w:p>
        </w:tc>
        <w:tc>
          <w:tcPr>
            <w:tcW w:type="dxa" w:w="4176"/>
          </w:tcPr>
          <w:p>
            <w:pPr>
              <w:spacing w:after="20"/>
            </w:pPr>
            <w:r/>
            <w:r>
              <w:rPr>
                <w:b w:val="0"/>
                <w:sz w:val="17"/>
              </w:rPr>
              <w:t>How AtliQ actually negotiates, read from its own signed contracts. Liability is capped at 1x fees in 9 of 12. Three contracts break that pattern.</w:t>
            </w:r>
          </w:p>
        </w:tc>
        <w:tc>
          <w:tcPr>
            <w:tcW w:type="dxa" w:w="4320"/>
          </w:tcPr>
          <w:p>
            <w:pPr>
              <w:spacing w:after="20"/>
            </w:pPr>
            <w:r/>
            <w:r>
              <w:rPr>
                <w:b w:val="0"/>
                <w:sz w:val="17"/>
              </w:rPr>
              <w:t>The client confirms there is no written policy: "It is Karan's preference. There is no fixed rule." So the playbook is labelled inferred, never presented as policy.</w:t>
            </w:r>
          </w:p>
        </w:tc>
      </w:tr>
    </w:tbl>
    <w:p>
      <w:pPr>
        <w:spacing w:after="120"/>
      </w:pPr>
    </w:p>
    <w:p>
      <w:pPr>
        <w:pStyle w:val="Heading2"/>
      </w:pPr>
      <w:r>
        <w:rPr>
          <w:color w:val="16213A"/>
        </w:rPr>
        <w:t>2.2 The five checks, and which ones use AI</w:t>
      </w:r>
    </w:p>
    <w:p>
      <w:pPr>
        <w:spacing w:after="120"/>
      </w:pPr>
      <w:r>
        <w:rPr>
          <w:b w:val="0"/>
          <w:i w:val="0"/>
          <w:sz w:val="20"/>
        </w:rPr>
        <w:t>This split matters more than anything else in the project. Three of the five checks deliberately use no model at all.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
          </w:tcPr>
          <w:p>
            <w:r/>
            <w:r>
              <w:rPr>
                <w:b/>
                <w:color w:val="16213A"/>
                <w:sz w:val="17"/>
              </w:rPr>
              <w:t>#</w:t>
            </w:r>
          </w:p>
        </w:tc>
        <w:tc>
          <w:tcPr>
            <w:tcW w:type="dxa" w:w="3024"/>
          </w:tcPr>
          <w:p>
            <w:r/>
            <w:r>
              <w:rPr>
                <w:b/>
                <w:color w:val="16213A"/>
                <w:sz w:val="17"/>
              </w:rPr>
              <w:t>Check</w:t>
            </w:r>
          </w:p>
        </w:tc>
        <w:tc>
          <w:tcPr>
            <w:tcW w:type="dxa" w:w="2736"/>
          </w:tcPr>
          <w:p>
            <w:r/>
            <w:r>
              <w:rPr>
                <w:b/>
                <w:color w:val="16213A"/>
                <w:sz w:val="17"/>
              </w:rPr>
              <w:t>How it runs</w:t>
            </w:r>
          </w:p>
        </w:tc>
        <w:tc>
          <w:tcPr>
            <w:tcW w:type="dxa" w:w="4176"/>
          </w:tcPr>
          <w:p>
            <w:r/>
            <w:r>
              <w:rPr>
                <w:b/>
                <w:color w:val="16213A"/>
                <w:sz w:val="17"/>
              </w:rPr>
              <w:t>Testable with a fixed expected result?</w:t>
            </w:r>
          </w:p>
        </w:tc>
      </w:tr>
      <w:tr>
        <w:tc>
          <w:tcPr>
            <w:tcW w:type="dxa" w:w="432"/>
          </w:tcPr>
          <w:p>
            <w:pPr>
              <w:spacing w:after="20"/>
            </w:pPr>
            <w:r/>
            <w:r>
              <w:rPr>
                <w:b w:val="0"/>
                <w:sz w:val="17"/>
              </w:rPr>
              <w:t>1</w:t>
            </w:r>
          </w:p>
        </w:tc>
        <w:tc>
          <w:tcPr>
            <w:tcW w:type="dxa" w:w="3024"/>
          </w:tcPr>
          <w:p>
            <w:pPr>
              <w:spacing w:after="20"/>
            </w:pPr>
            <w:r/>
            <w:r>
              <w:rPr>
                <w:b w:val="0"/>
                <w:sz w:val="17"/>
              </w:rPr>
              <w:t>Collides with a past commitment, waiver scope included</w:t>
            </w:r>
          </w:p>
        </w:tc>
        <w:tc>
          <w:tcPr>
            <w:tcW w:type="dxa" w:w="2736"/>
          </w:tcPr>
          <w:p>
            <w:pPr>
              <w:spacing w:after="20"/>
            </w:pPr>
            <w:r/>
            <w:r>
              <w:rPr>
                <w:b w:val="0"/>
                <w:sz w:val="17"/>
              </w:rPr>
              <w:t>Retrieval + model reasoning</w:t>
            </w:r>
          </w:p>
        </w:tc>
        <w:tc>
          <w:tcPr>
            <w:tcW w:type="dxa" w:w="4176"/>
          </w:tcPr>
          <w:p>
            <w:pPr>
              <w:spacing w:after="20"/>
            </w:pPr>
            <w:r/>
            <w:r>
              <w:rPr>
                <w:b w:val="0"/>
                <w:sz w:val="17"/>
              </w:rPr>
              <w:t>NO — judgement. Verified against the evaluation set instead.</w:t>
            </w:r>
          </w:p>
        </w:tc>
      </w:tr>
      <w:tr>
        <w:tc>
          <w:tcPr>
            <w:tcW w:type="dxa" w:w="432"/>
          </w:tcPr>
          <w:p>
            <w:pPr>
              <w:spacing w:after="20"/>
            </w:pPr>
            <w:r/>
            <w:r>
              <w:rPr>
                <w:b w:val="0"/>
                <w:sz w:val="17"/>
              </w:rPr>
              <w:t>2</w:t>
            </w:r>
          </w:p>
        </w:tc>
        <w:tc>
          <w:tcPr>
            <w:tcW w:type="dxa" w:w="3024"/>
          </w:tcPr>
          <w:p>
            <w:pPr>
              <w:spacing w:after="20"/>
            </w:pPr>
            <w:r/>
            <w:r>
              <w:rPr>
                <w:b w:val="0"/>
                <w:sz w:val="17"/>
              </w:rPr>
              <w:t>Is that commitment still binding today?</w:t>
            </w:r>
          </w:p>
        </w:tc>
        <w:tc>
          <w:tcPr>
            <w:tcW w:type="dxa" w:w="2736"/>
          </w:tcPr>
          <w:p>
            <w:pPr>
              <w:spacing w:after="20"/>
            </w:pPr>
            <w:r/>
            <w:r>
              <w:rPr>
                <w:b w:val="0"/>
                <w:sz w:val="17"/>
              </w:rPr>
              <w:t>Date arithmetic</w:t>
            </w:r>
          </w:p>
        </w:tc>
        <w:tc>
          <w:tcPr>
            <w:tcW w:type="dxa" w:w="4176"/>
          </w:tcPr>
          <w:p>
            <w:pPr>
              <w:spacing w:after="20"/>
            </w:pPr>
            <w:r/>
            <w:r>
              <w:rPr>
                <w:b w:val="0"/>
                <w:sz w:val="17"/>
              </w:rPr>
              <w:t>YES — exact</w:t>
            </w:r>
          </w:p>
        </w:tc>
      </w:tr>
      <w:tr>
        <w:tc>
          <w:tcPr>
            <w:tcW w:type="dxa" w:w="432"/>
          </w:tcPr>
          <w:p>
            <w:pPr>
              <w:spacing w:after="20"/>
            </w:pPr>
            <w:r/>
            <w:r>
              <w:rPr>
                <w:b w:val="0"/>
                <w:sz w:val="17"/>
              </w:rPr>
              <w:t>3</w:t>
            </w:r>
          </w:p>
        </w:tc>
        <w:tc>
          <w:tcPr>
            <w:tcW w:type="dxa" w:w="3024"/>
          </w:tcPr>
          <w:p>
            <w:pPr>
              <w:spacing w:after="20"/>
            </w:pPr>
            <w:r/>
            <w:r>
              <w:rPr>
                <w:b w:val="0"/>
                <w:sz w:val="17"/>
              </w:rPr>
              <w:t>Risk terms against contract value</w:t>
            </w:r>
          </w:p>
        </w:tc>
        <w:tc>
          <w:tcPr>
            <w:tcW w:type="dxa" w:w="2736"/>
          </w:tcPr>
          <w:p>
            <w:pPr>
              <w:spacing w:after="20"/>
            </w:pPr>
            <w:r/>
            <w:r>
              <w:rPr>
                <w:b w:val="0"/>
                <w:sz w:val="17"/>
              </w:rPr>
              <w:t>Arithmetic</w:t>
            </w:r>
          </w:p>
        </w:tc>
        <w:tc>
          <w:tcPr>
            <w:tcW w:type="dxa" w:w="4176"/>
          </w:tcPr>
          <w:p>
            <w:pPr>
              <w:spacing w:after="20"/>
            </w:pPr>
            <w:r/>
            <w:r>
              <w:rPr>
                <w:b w:val="0"/>
                <w:sz w:val="17"/>
              </w:rPr>
              <w:t>YES — exact</w:t>
            </w:r>
          </w:p>
        </w:tc>
      </w:tr>
      <w:tr>
        <w:tc>
          <w:tcPr>
            <w:tcW w:type="dxa" w:w="432"/>
          </w:tcPr>
          <w:p>
            <w:pPr>
              <w:spacing w:after="20"/>
            </w:pPr>
            <w:r/>
            <w:r>
              <w:rPr>
                <w:b w:val="0"/>
                <w:sz w:val="17"/>
              </w:rPr>
              <w:t>4</w:t>
            </w:r>
          </w:p>
        </w:tc>
        <w:tc>
          <w:tcPr>
            <w:tcW w:type="dxa" w:w="3024"/>
          </w:tcPr>
          <w:p>
            <w:pPr>
              <w:spacing w:after="20"/>
            </w:pPr>
            <w:r/>
            <w:r>
              <w:rPr>
                <w:b w:val="0"/>
                <w:sz w:val="17"/>
              </w:rPr>
              <w:t>Signing entity vs governing law vs invoicing</w:t>
            </w:r>
          </w:p>
        </w:tc>
        <w:tc>
          <w:tcPr>
            <w:tcW w:type="dxa" w:w="2736"/>
          </w:tcPr>
          <w:p>
            <w:pPr>
              <w:spacing w:after="20"/>
            </w:pPr>
            <w:r/>
            <w:r>
              <w:rPr>
                <w:b w:val="0"/>
                <w:sz w:val="17"/>
              </w:rPr>
              <w:t>Lookup against the entity fact sheet</w:t>
            </w:r>
          </w:p>
        </w:tc>
        <w:tc>
          <w:tcPr>
            <w:tcW w:type="dxa" w:w="4176"/>
          </w:tcPr>
          <w:p>
            <w:pPr>
              <w:spacing w:after="20"/>
            </w:pPr>
            <w:r/>
            <w:r>
              <w:rPr>
                <w:b w:val="0"/>
                <w:sz w:val="17"/>
              </w:rPr>
              <w:t>YES — exact</w:t>
            </w:r>
          </w:p>
        </w:tc>
      </w:tr>
      <w:tr>
        <w:tc>
          <w:tcPr>
            <w:tcW w:type="dxa" w:w="432"/>
          </w:tcPr>
          <w:p>
            <w:pPr>
              <w:spacing w:after="20"/>
            </w:pPr>
            <w:r/>
            <w:r>
              <w:rPr>
                <w:b w:val="0"/>
                <w:sz w:val="17"/>
              </w:rPr>
              <w:t>5</w:t>
            </w:r>
          </w:p>
        </w:tc>
        <w:tc>
          <w:tcPr>
            <w:tcW w:type="dxa" w:w="3024"/>
          </w:tcPr>
          <w:p>
            <w:pPr>
              <w:spacing w:after="20"/>
            </w:pPr>
            <w:r/>
            <w:r>
              <w:rPr>
                <w:b w:val="0"/>
                <w:sz w:val="17"/>
              </w:rPr>
              <w:t>Is the document bundle complete for this deal type?</w:t>
            </w:r>
          </w:p>
        </w:tc>
        <w:tc>
          <w:tcPr>
            <w:tcW w:type="dxa" w:w="2736"/>
          </w:tcPr>
          <w:p>
            <w:pPr>
              <w:spacing w:after="20"/>
            </w:pPr>
            <w:r/>
            <w:r>
              <w:rPr>
                <w:b w:val="0"/>
                <w:sz w:val="17"/>
              </w:rPr>
              <w:t>Rule table</w:t>
            </w:r>
          </w:p>
        </w:tc>
        <w:tc>
          <w:tcPr>
            <w:tcW w:type="dxa" w:w="4176"/>
          </w:tcPr>
          <w:p>
            <w:pPr>
              <w:spacing w:after="20"/>
            </w:pPr>
            <w:r/>
            <w:r>
              <w:rPr>
                <w:b w:val="0"/>
                <w:sz w:val="17"/>
              </w:rPr>
              <w:t>YES — exact</w:t>
            </w:r>
          </w:p>
        </w:tc>
      </w:tr>
      <w:tr>
        <w:tc>
          <w:tcPr>
            <w:tcW w:type="dxa" w:w="432"/>
          </w:tcPr>
          <w:p>
            <w:pPr>
              <w:spacing w:after="20"/>
            </w:pPr>
            <w:r/>
            <w:r>
              <w:rPr>
                <w:b w:val="0"/>
                <w:sz w:val="17"/>
              </w:rPr>
              <w:t>0</w:t>
            </w:r>
          </w:p>
        </w:tc>
        <w:tc>
          <w:tcPr>
            <w:tcW w:type="dxa" w:w="3024"/>
          </w:tcPr>
          <w:p>
            <w:pPr>
              <w:spacing w:after="20"/>
            </w:pPr>
            <w:r/>
            <w:r>
              <w:rPr>
                <w:b w:val="0"/>
                <w:sz w:val="17"/>
              </w:rPr>
              <w:t>Reading the contract into structured facts</w:t>
            </w:r>
          </w:p>
        </w:tc>
        <w:tc>
          <w:tcPr>
            <w:tcW w:type="dxa" w:w="2736"/>
          </w:tcPr>
          <w:p>
            <w:pPr>
              <w:spacing w:after="20"/>
            </w:pPr>
            <w:r/>
            <w:r>
              <w:rPr>
                <w:b w:val="0"/>
                <w:sz w:val="17"/>
              </w:rPr>
              <w:t>Model extraction, regex fallback</w:t>
            </w:r>
          </w:p>
        </w:tc>
        <w:tc>
          <w:tcPr>
            <w:tcW w:type="dxa" w:w="4176"/>
          </w:tcPr>
          <w:p>
            <w:pPr>
              <w:spacing w:after="20"/>
            </w:pPr>
            <w:r/>
            <w:r>
              <w:rPr>
                <w:b w:val="0"/>
                <w:sz w:val="17"/>
              </w:rPr>
              <w:t>NO — accuracy varies by document</w:t>
            </w:r>
          </w:p>
        </w:tc>
      </w:tr>
    </w:tbl>
    <w:p>
      <w:pPr>
        <w:spacing w:after="120"/>
      </w:pPr>
    </w:p>
    <w:p>
      <w:pPr>
        <w:spacing w:after="240"/>
      </w:pPr>
      <w:r>
        <w:rPr>
          <w:b w:val="0"/>
          <w:i w:val="0"/>
          <w:sz w:val="20"/>
        </w:rPr>
        <w:t>A QA consequence worth stating plainly: checks 2 to 5 are ordinary deterministic software and are tested the ordinary way. Checks 0 and 1 are probabilistic and cannot be. They are held to thresholds on a fixed evaluation set, not to a single expected output. Mixing those two kinds of testing is the most common mistake in AI products.</w:t>
      </w:r>
    </w:p>
    <w:p>
      <w:r>
        <w:br w:type="page"/>
      </w:r>
    </w:p>
    <w:p>
      <w:pPr>
        <w:pStyle w:val="Heading1"/>
      </w:pPr>
      <w:r>
        <w:rPr>
          <w:color w:val="16213A"/>
        </w:rPr>
        <w:t>3. Test environment</w:t>
      </w:r>
    </w:p>
    <w:tbl>
      <w:tblPr>
        <w:tblStyle w:val="TableGrid"/>
        <w:tblW w:type="auto" w:w="0"/>
        <w:jc w:val="center"/>
        <w:tblLook w:firstColumn="1" w:firstRow="1" w:lastColumn="0" w:lastRow="0" w:noHBand="0" w:noVBand="1" w:val="04A0"/>
      </w:tblPr>
      <w:tblGrid>
        <w:gridCol w:w="5112"/>
        <w:gridCol w:w="5112"/>
      </w:tblGrid>
      <w:tr>
        <w:tc>
          <w:tcPr>
            <w:tcW w:type="dxa" w:w="2016"/>
          </w:tcPr>
          <w:p>
            <w:r/>
            <w:r>
              <w:rPr>
                <w:b/>
                <w:color w:val="16213A"/>
                <w:sz w:val="17"/>
              </w:rPr>
              <w:t>Item</w:t>
            </w:r>
          </w:p>
        </w:tc>
        <w:tc>
          <w:tcPr>
            <w:tcW w:type="dxa" w:w="8352"/>
          </w:tcPr>
          <w:p>
            <w:r/>
            <w:r>
              <w:rPr>
                <w:b/>
                <w:color w:val="16213A"/>
                <w:sz w:val="17"/>
              </w:rPr>
              <w:t>Value</w:t>
            </w:r>
          </w:p>
        </w:tc>
      </w:tr>
      <w:tr>
        <w:tc>
          <w:tcPr>
            <w:tcW w:type="dxa" w:w="2016"/>
          </w:tcPr>
          <w:p>
            <w:pPr>
              <w:spacing w:after="20"/>
            </w:pPr>
            <w:r/>
            <w:r>
              <w:rPr>
                <w:b w:val="0"/>
                <w:sz w:val="17"/>
              </w:rPr>
              <w:t>Application</w:t>
            </w:r>
          </w:p>
        </w:tc>
        <w:tc>
          <w:tcPr>
            <w:tcW w:type="dxa" w:w="8352"/>
          </w:tcPr>
          <w:p>
            <w:pPr>
              <w:spacing w:after="20"/>
            </w:pPr>
            <w:r/>
            <w:r>
              <w:rPr>
                <w:b w:val="0"/>
                <w:sz w:val="17"/>
              </w:rPr>
              <w:t>Streamlit, run with: python -m streamlit run app.py</w:t>
            </w:r>
          </w:p>
        </w:tc>
      </w:tr>
      <w:tr>
        <w:tc>
          <w:tcPr>
            <w:tcW w:type="dxa" w:w="2016"/>
          </w:tcPr>
          <w:p>
            <w:pPr>
              <w:spacing w:after="20"/>
            </w:pPr>
            <w:r/>
            <w:r>
              <w:rPr>
                <w:b w:val="0"/>
                <w:sz w:val="17"/>
              </w:rPr>
              <w:t>Runs at</w:t>
            </w:r>
          </w:p>
        </w:tc>
        <w:tc>
          <w:tcPr>
            <w:tcW w:type="dxa" w:w="8352"/>
          </w:tcPr>
          <w:p>
            <w:pPr>
              <w:spacing w:after="20"/>
            </w:pPr>
            <w:r/>
            <w:r>
              <w:rPr>
                <w:b w:val="0"/>
                <w:sz w:val="17"/>
              </w:rPr>
              <w:t>http://localhost:8501</w:t>
            </w:r>
          </w:p>
        </w:tc>
      </w:tr>
      <w:tr>
        <w:tc>
          <w:tcPr>
            <w:tcW w:type="dxa" w:w="2016"/>
          </w:tcPr>
          <w:p>
            <w:pPr>
              <w:spacing w:after="20"/>
            </w:pPr>
            <w:r/>
            <w:r>
              <w:rPr>
                <w:b w:val="0"/>
                <w:sz w:val="17"/>
              </w:rPr>
              <w:t>Model access</w:t>
            </w:r>
          </w:p>
        </w:tc>
        <w:tc>
          <w:tcPr>
            <w:tcW w:type="dxa" w:w="8352"/>
          </w:tcPr>
          <w:p>
            <w:pPr>
              <w:spacing w:after="20"/>
            </w:pPr>
            <w:r/>
            <w:r>
              <w:rPr>
                <w:b w:val="0"/>
                <w:sz w:val="17"/>
              </w:rPr>
              <w:t>Groq API key, read from .env / Streamlit secrets / environment. Never asked for in the UI.</w:t>
            </w:r>
          </w:p>
        </w:tc>
      </w:tr>
      <w:tr>
        <w:tc>
          <w:tcPr>
            <w:tcW w:type="dxa" w:w="2016"/>
          </w:tcPr>
          <w:p>
            <w:pPr>
              <w:spacing w:after="20"/>
            </w:pPr>
            <w:r/>
            <w:r>
              <w:rPr>
                <w:b w:val="0"/>
                <w:sz w:val="17"/>
              </w:rPr>
              <w:t>Degraded mode</w:t>
            </w:r>
          </w:p>
        </w:tc>
        <w:tc>
          <w:tcPr>
            <w:tcW w:type="dxa" w:w="8352"/>
          </w:tcPr>
          <w:p>
            <w:pPr>
              <w:spacing w:after="20"/>
            </w:pPr>
            <w:r/>
            <w:r>
              <w:rPr>
                <w:b w:val="0"/>
                <w:sz w:val="17"/>
              </w:rPr>
              <w:t>With no key the three rule-based checks still run. The two model-based checks report NOT RUN in the manifest. They are never silently skipped.</w:t>
            </w:r>
          </w:p>
        </w:tc>
      </w:tr>
      <w:tr>
        <w:tc>
          <w:tcPr>
            <w:tcW w:type="dxa" w:w="2016"/>
          </w:tcPr>
          <w:p>
            <w:pPr>
              <w:spacing w:after="20"/>
            </w:pPr>
            <w:r/>
            <w:r>
              <w:rPr>
                <w:b w:val="0"/>
                <w:sz w:val="17"/>
              </w:rPr>
              <w:t>Regression suite</w:t>
            </w:r>
          </w:p>
        </w:tc>
        <w:tc>
          <w:tcPr>
            <w:tcW w:type="dxa" w:w="8352"/>
          </w:tcPr>
          <w:p>
            <w:pPr>
              <w:spacing w:after="20"/>
            </w:pPr>
            <w:r/>
            <w:r>
              <w:rPr>
                <w:b w:val="0"/>
                <w:sz w:val="17"/>
              </w:rPr>
              <w:t>python evals/run_evals.py  —  13 cases, 6 of them launch blockers. Runs without an API key, so the scorecard is reproducible by anyone.</w:t>
            </w:r>
          </w:p>
        </w:tc>
      </w:tr>
      <w:tr>
        <w:tc>
          <w:tcPr>
            <w:tcW w:type="dxa" w:w="2016"/>
          </w:tcPr>
          <w:p>
            <w:pPr>
              <w:spacing w:after="20"/>
            </w:pPr>
            <w:r/>
            <w:r>
              <w:rPr>
                <w:b w:val="0"/>
                <w:sz w:val="17"/>
              </w:rPr>
              <w:t>Test data</w:t>
            </w:r>
          </w:p>
        </w:tc>
        <w:tc>
          <w:tcPr>
            <w:tcW w:type="dxa" w:w="8352"/>
          </w:tcPr>
          <w:p>
            <w:pPr>
              <w:spacing w:after="20"/>
            </w:pPr>
            <w:r/>
            <w:r>
              <w:rPr>
                <w:b w:val="0"/>
                <w:sz w:val="17"/>
              </w:rPr>
              <w:t>15 incoming drafts in data/samples/ and 17 signed contracts in data/signed/</w:t>
            </w:r>
          </w:p>
        </w:tc>
      </w:tr>
    </w:tbl>
    <w:p>
      <w:pPr>
        <w:spacing w:after="120"/>
      </w:pPr>
    </w:p>
    <w:p>
      <w:pPr>
        <w:pStyle w:val="Heading1"/>
      </w:pPr>
      <w:r>
        <w:rPr>
          <w:color w:val="16213A"/>
        </w:rPr>
        <w:t>4. What to look at on every run</w:t>
      </w:r>
    </w:p>
    <w:p>
      <w:pPr>
        <w:spacing w:after="120"/>
      </w:pPr>
      <w:r>
        <w:rPr>
          <w:b w:val="0"/>
          <w:i w:val="0"/>
          <w:sz w:val="20"/>
        </w:rPr>
        <w:t>The screen is the same shape every time. Learn these six zones once.</w:t>
      </w:r>
    </w:p>
    <w:tbl>
      <w:tblPr>
        <w:tblStyle w:val="TableGrid"/>
        <w:tblW w:type="auto" w:w="0"/>
        <w:jc w:val="center"/>
        <w:tblLook w:firstColumn="1" w:firstRow="1" w:lastColumn="0" w:lastRow="0" w:noHBand="0" w:noVBand="1" w:val="04A0"/>
      </w:tblPr>
      <w:tblGrid>
        <w:gridCol w:w="3408"/>
        <w:gridCol w:w="3408"/>
        <w:gridCol w:w="3408"/>
      </w:tblGrid>
      <w:tr>
        <w:tc>
          <w:tcPr>
            <w:tcW w:type="dxa" w:w="1728"/>
          </w:tcPr>
          <w:p>
            <w:r/>
            <w:r>
              <w:rPr>
                <w:b/>
                <w:color w:val="16213A"/>
                <w:sz w:val="17"/>
              </w:rPr>
              <w:t>Zone</w:t>
            </w:r>
          </w:p>
        </w:tc>
        <w:tc>
          <w:tcPr>
            <w:tcW w:type="dxa" w:w="3744"/>
          </w:tcPr>
          <w:p>
            <w:r/>
            <w:r>
              <w:rPr>
                <w:b/>
                <w:color w:val="16213A"/>
                <w:sz w:val="17"/>
              </w:rPr>
              <w:t>What it is</w:t>
            </w:r>
          </w:p>
        </w:tc>
        <w:tc>
          <w:tcPr>
            <w:tcW w:type="dxa" w:w="4896"/>
          </w:tcPr>
          <w:p>
            <w:r/>
            <w:r>
              <w:rPr>
                <w:b/>
                <w:color w:val="16213A"/>
                <w:sz w:val="17"/>
              </w:rPr>
              <w:t>What good looks like</w:t>
            </w:r>
          </w:p>
        </w:tc>
      </w:tr>
      <w:tr>
        <w:tc>
          <w:tcPr>
            <w:tcW w:type="dxa" w:w="1728"/>
          </w:tcPr>
          <w:p>
            <w:pPr>
              <w:spacing w:after="20"/>
            </w:pPr>
            <w:r/>
            <w:r>
              <w:rPr>
                <w:b w:val="0"/>
                <w:sz w:val="17"/>
              </w:rPr>
              <w:t>1. Paperwork banner</w:t>
            </w:r>
          </w:p>
        </w:tc>
        <w:tc>
          <w:tcPr>
            <w:tcW w:type="dxa" w:w="3744"/>
          </w:tcPr>
          <w:p>
            <w:pPr>
              <w:spacing w:after="20"/>
            </w:pPr>
            <w:r/>
            <w:r>
              <w:rPr>
                <w:b w:val="0"/>
                <w:sz w:val="17"/>
              </w:rPr>
              <w:t>Appears immediately on selection, BEFORE the Analyse button, if this kind of deal needs companion documents.</w:t>
            </w:r>
          </w:p>
        </w:tc>
        <w:tc>
          <w:tcPr>
            <w:tcW w:type="dxa" w:w="4896"/>
          </w:tcPr>
          <w:p>
            <w:pPr>
              <w:spacing w:after="20"/>
            </w:pPr>
            <w:r/>
            <w:r>
              <w:rPr>
                <w:b w:val="0"/>
                <w:sz w:val="17"/>
              </w:rPr>
              <w:t>Fires on exactly 4 of the 15 drafts. Silence on the other 11 is a pass, not a miss.</w:t>
            </w:r>
          </w:p>
        </w:tc>
      </w:tr>
      <w:tr>
        <w:tc>
          <w:tcPr>
            <w:tcW w:type="dxa" w:w="1728"/>
          </w:tcPr>
          <w:p>
            <w:pPr>
              <w:spacing w:after="20"/>
            </w:pPr>
            <w:r/>
            <w:r>
              <w:rPr>
                <w:b w:val="0"/>
                <w:sz w:val="17"/>
              </w:rPr>
              <w:t>2. Three-line verdict</w:t>
            </w:r>
          </w:p>
        </w:tc>
        <w:tc>
          <w:tcPr>
            <w:tcW w:type="dxa" w:w="3744"/>
          </w:tcPr>
          <w:p>
            <w:pPr>
              <w:spacing w:after="20"/>
            </w:pPr>
            <w:r/>
            <w:r>
              <w:rPr>
                <w:b w:val="0"/>
                <w:sz w:val="17"/>
              </w:rPr>
              <w:t>Past promises / Our own paper / Deal completeness. Each answers one question.</w:t>
            </w:r>
          </w:p>
        </w:tc>
        <w:tc>
          <w:tcPr>
            <w:tcW w:type="dxa" w:w="4896"/>
          </w:tcPr>
          <w:p>
            <w:pPr>
              <w:spacing w:after="20"/>
            </w:pPr>
            <w:r/>
            <w:r>
              <w:rPr>
                <w:b w:val="0"/>
                <w:sz w:val="17"/>
              </w:rPr>
              <w:t>Plain words — CONFLICT, IN LINE, COMPLETE. No severity jargon.</w:t>
            </w:r>
          </w:p>
        </w:tc>
      </w:tr>
      <w:tr>
        <w:tc>
          <w:tcPr>
            <w:tcW w:type="dxa" w:w="1728"/>
          </w:tcPr>
          <w:p>
            <w:pPr>
              <w:spacing w:after="20"/>
            </w:pPr>
            <w:r/>
            <w:r>
              <w:rPr>
                <w:b w:val="0"/>
                <w:sz w:val="17"/>
              </w:rPr>
              <w:t>3. What could not be checked</w:t>
            </w:r>
          </w:p>
        </w:tc>
        <w:tc>
          <w:tcPr>
            <w:tcW w:type="dxa" w:w="3744"/>
          </w:tcPr>
          <w:p>
            <w:pPr>
              <w:spacing w:after="20"/>
            </w:pPr>
            <w:r/>
            <w:r>
              <w:rPr>
                <w:b w:val="0"/>
                <w:sz w:val="17"/>
              </w:rPr>
              <w:t>Inputs the draft did not contain, so a check could not run.</w:t>
            </w:r>
          </w:p>
        </w:tc>
        <w:tc>
          <w:tcPr>
            <w:tcW w:type="dxa" w:w="4896"/>
          </w:tcPr>
          <w:p>
            <w:pPr>
              <w:spacing w:after="20"/>
            </w:pPr>
            <w:r/>
            <w:r>
              <w:rPr>
                <w:b w:val="0"/>
                <w:sz w:val="17"/>
              </w:rPr>
              <w:t>Names the missing input and where it normally lives. Never counted as a pass.</w:t>
            </w:r>
          </w:p>
        </w:tc>
      </w:tr>
      <w:tr>
        <w:tc>
          <w:tcPr>
            <w:tcW w:type="dxa" w:w="1728"/>
          </w:tcPr>
          <w:p>
            <w:pPr>
              <w:spacing w:after="20"/>
            </w:pPr>
            <w:r/>
            <w:r>
              <w:rPr>
                <w:b w:val="0"/>
                <w:sz w:val="17"/>
              </w:rPr>
              <w:t>4. Findings</w:t>
            </w:r>
          </w:p>
        </w:tc>
        <w:tc>
          <w:tcPr>
            <w:tcW w:type="dxa" w:w="3744"/>
          </w:tcPr>
          <w:p>
            <w:pPr>
              <w:spacing w:after="20"/>
            </w:pPr>
            <w:r/>
            <w:r>
              <w:rPr>
                <w:b w:val="0"/>
                <w:sz w:val="17"/>
              </w:rPr>
              <w:t>Everything found, worst first, never filtered.</w:t>
            </w:r>
          </w:p>
        </w:tc>
        <w:tc>
          <w:tcPr>
            <w:tcW w:type="dxa" w:w="4896"/>
          </w:tcPr>
          <w:p>
            <w:pPr>
              <w:spacing w:after="20"/>
            </w:pPr>
            <w:r/>
            <w:r>
              <w:rPr>
                <w:b w:val="0"/>
                <w:sz w:val="17"/>
              </w:rPr>
              <w:t>Each carries a quoted clause, a source file, a clause number, and the words "verified verbatim against source".</w:t>
            </w:r>
          </w:p>
        </w:tc>
      </w:tr>
      <w:tr>
        <w:tc>
          <w:tcPr>
            <w:tcW w:type="dxa" w:w="1728"/>
          </w:tcPr>
          <w:p>
            <w:pPr>
              <w:spacing w:after="20"/>
            </w:pPr>
            <w:r/>
            <w:r>
              <w:rPr>
                <w:b w:val="0"/>
                <w:sz w:val="17"/>
              </w:rPr>
              <w:t>5. Considered and cleared</w:t>
            </w:r>
          </w:p>
        </w:tc>
        <w:tc>
          <w:tcPr>
            <w:tcW w:type="dxa" w:w="3744"/>
          </w:tcPr>
          <w:p>
            <w:pPr>
              <w:spacing w:after="20"/>
            </w:pPr>
            <w:r/>
            <w:r>
              <w:rPr>
                <w:b w:val="0"/>
                <w:sz w:val="17"/>
              </w:rPr>
              <w:t>What was checked and ruled out, including expired promises.</w:t>
            </w:r>
          </w:p>
        </w:tc>
        <w:tc>
          <w:tcPr>
            <w:tcW w:type="dxa" w:w="4896"/>
          </w:tcPr>
          <w:p>
            <w:pPr>
              <w:spacing w:after="20"/>
            </w:pPr>
            <w:r/>
            <w:r>
              <w:rPr>
                <w:b w:val="0"/>
                <w:sz w:val="17"/>
              </w:rPr>
              <w:t>Client-requested. Seeing what was ruled out is how you know it looked.</w:t>
            </w:r>
          </w:p>
        </w:tc>
      </w:tr>
      <w:tr>
        <w:tc>
          <w:tcPr>
            <w:tcW w:type="dxa" w:w="1728"/>
          </w:tcPr>
          <w:p>
            <w:pPr>
              <w:spacing w:after="20"/>
            </w:pPr>
            <w:r/>
            <w:r>
              <w:rPr>
                <w:b w:val="0"/>
                <w:sz w:val="17"/>
              </w:rPr>
              <w:t>6. Which checks ran</w:t>
            </w:r>
          </w:p>
        </w:tc>
        <w:tc>
          <w:tcPr>
            <w:tcW w:type="dxa" w:w="3744"/>
          </w:tcPr>
          <w:p>
            <w:pPr>
              <w:spacing w:after="20"/>
            </w:pPr>
            <w:r/>
            <w:r>
              <w:rPr>
                <w:b w:val="0"/>
                <w:sz w:val="17"/>
              </w:rPr>
              <w:t>The manifest: RAN / NOT APPLICABLE / COULD NOT RUN per check.</w:t>
            </w:r>
          </w:p>
        </w:tc>
        <w:tc>
          <w:tcPr>
            <w:tcW w:type="dxa" w:w="4896"/>
          </w:tcPr>
          <w:p>
            <w:pPr>
              <w:spacing w:after="20"/>
            </w:pPr>
            <w:r/>
            <w:r>
              <w:rPr>
                <w:b w:val="0"/>
                <w:sz w:val="17"/>
              </w:rPr>
              <w:t>Plus any finding deleted because its quote could not be verified.</w:t>
            </w:r>
          </w:p>
        </w:tc>
      </w:tr>
    </w:tbl>
    <w:p>
      <w:pPr>
        <w:spacing w:after="120"/>
      </w:pPr>
    </w:p>
    <w:p>
      <w:r>
        <w:br w:type="page"/>
      </w:r>
    </w:p>
    <w:p>
      <w:pPr>
        <w:pStyle w:val="Heading1"/>
      </w:pPr>
      <w:r>
        <w:rPr>
          <w:color w:val="16213A"/>
        </w:rPr>
        <w:t>5. Coverage matrix — every contract in the queue</w:t>
      </w:r>
    </w:p>
    <w:p>
      <w:pPr>
        <w:spacing w:after="160"/>
      </w:pPr>
      <w:r>
        <w:rPr>
          <w:b w:val="0"/>
          <w:i w:val="0"/>
          <w:sz w:val="20"/>
        </w:rPr>
        <w:t>Fifteen drafts. Work down the list. "Deterministic" results are exact and repeatable; "model-judged" results are expected behaviour and may vary in wording.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76"/>
          </w:tcPr>
          <w:p>
            <w:r/>
            <w:r>
              <w:rPr>
                <w:b/>
                <w:color w:val="16213A"/>
                <w:sz w:val="15"/>
              </w:rPr>
              <w:t>ID</w:t>
            </w:r>
          </w:p>
        </w:tc>
        <w:tc>
          <w:tcPr>
            <w:tcW w:type="dxa" w:w="2160"/>
          </w:tcPr>
          <w:p>
            <w:r/>
            <w:r>
              <w:rPr>
                <w:b/>
                <w:color w:val="16213A"/>
                <w:sz w:val="15"/>
              </w:rPr>
              <w:t>Contract</w:t>
            </w:r>
          </w:p>
        </w:tc>
        <w:tc>
          <w:tcPr>
            <w:tcW w:type="dxa" w:w="2160"/>
          </w:tcPr>
          <w:p>
            <w:r/>
            <w:r>
              <w:rPr>
                <w:b/>
                <w:color w:val="16213A"/>
                <w:sz w:val="15"/>
              </w:rPr>
              <w:t>What it is</w:t>
            </w:r>
          </w:p>
        </w:tc>
        <w:tc>
          <w:tcPr>
            <w:tcW w:type="dxa" w:w="3312"/>
          </w:tcPr>
          <w:p>
            <w:r/>
            <w:r>
              <w:rPr>
                <w:b/>
                <w:color w:val="16213A"/>
                <w:sz w:val="15"/>
              </w:rPr>
              <w:t>Expected behaviour</w:t>
            </w:r>
          </w:p>
        </w:tc>
        <w:tc>
          <w:tcPr>
            <w:tcW w:type="dxa" w:w="2160"/>
          </w:tcPr>
          <w:p>
            <w:r/>
            <w:r>
              <w:rPr>
                <w:b/>
                <w:color w:val="16213A"/>
                <w:sz w:val="15"/>
              </w:rPr>
              <w:t>Why this case exists</w:t>
            </w:r>
          </w:p>
        </w:tc>
      </w:tr>
      <w:tr>
        <w:tc>
          <w:tcPr>
            <w:tcW w:type="dxa" w:w="576"/>
          </w:tcPr>
          <w:p>
            <w:pPr>
              <w:spacing w:after="20"/>
            </w:pPr>
            <w:r/>
            <w:r>
              <w:rPr>
                <w:b w:val="0"/>
                <w:sz w:val="15"/>
              </w:rPr>
              <w:t>T-01</w:t>
            </w:r>
          </w:p>
        </w:tc>
        <w:tc>
          <w:tcPr>
            <w:tcW w:type="dxa" w:w="2160"/>
          </w:tcPr>
          <w:p>
            <w:pPr>
              <w:spacing w:after="20"/>
            </w:pPr>
            <w:r/>
            <w:r>
              <w:rPr>
                <w:b w:val="0"/>
                <w:sz w:val="15"/>
              </w:rPr>
              <w:t>2026-09-10_​harrington_​health_​msa_​draft.md</w:t>
            </w:r>
          </w:p>
        </w:tc>
        <w:tc>
          <w:tcPr>
            <w:tcW w:type="dxa" w:w="2160"/>
          </w:tcPr>
          <w:p>
            <w:pPr>
              <w:spacing w:after="20"/>
            </w:pPr>
            <w:r/>
            <w:r>
              <w:rPr>
                <w:b w:val="0"/>
                <w:sz w:val="15"/>
              </w:rPr>
              <w:t>US healthcare MSA. AtliQ Inc, Texas law, $210,000. Involves patient data.</w:t>
            </w:r>
          </w:p>
        </w:tc>
        <w:tc>
          <w:tcPr>
            <w:tcW w:type="dxa" w:w="3312"/>
          </w:tcPr>
          <w:p>
            <w:pPr>
              <w:spacing w:after="20"/>
            </w:pPr>
            <w:r/>
            <w:r>
              <w:rPr>
                <w:b/>
                <w:sz w:val="15"/>
              </w:rPr>
              <w:t>Paperwork banner: FIRES</w:t>
            </w:r>
            <w:r>
              <w:rPr>
                <w:b w:val="0"/>
                <w:sz w:val="15"/>
              </w:rPr>
              <w:t xml:space="preserve"> — US healthcare.</w:t>
            </w:r>
          </w:p>
          <w:p>
            <w:pPr>
              <w:spacing w:after="20"/>
            </w:pPr>
            <w:r>
              <w:rPr>
                <w:b w:val="0"/>
                <w:sz w:val="15"/>
              </w:rPr>
              <w:t>Asks for NDA + BAA (the MSA satisfies its own row).</w:t>
            </w:r>
          </w:p>
          <w:p>
            <w:pPr>
              <w:spacing w:after="20"/>
            </w:pPr>
            <w:r>
              <w:rPr>
                <w:b w:val="0"/>
                <w:sz w:val="15"/>
              </w:rPr>
              <w:t>Verdict 3: SOMETHING'S MISSING until the BAA is attached.</w:t>
            </w:r>
          </w:p>
          <w:p>
            <w:pPr>
              <w:spacing w:after="20"/>
            </w:pPr>
            <w:r>
              <w:rPr>
                <w:b w:val="0"/>
                <w:sz w:val="15"/>
              </w:rPr>
              <w:t>Expect a collision on the Harrington NDA data restriction (PHI may only be disclosed after a BAA is executed).</w:t>
            </w:r>
          </w:p>
        </w:tc>
        <w:tc>
          <w:tcPr>
            <w:tcW w:type="dxa" w:w="2160"/>
          </w:tcPr>
          <w:p>
            <w:pPr>
              <w:spacing w:after="20"/>
            </w:pPr>
            <w:r/>
            <w:r>
              <w:rPr>
                <w:b w:val="0"/>
                <w:sz w:val="15"/>
              </w:rPr>
              <w:t>THE PRIMARY DEMO. Both companion files are in the dropdown.</w:t>
            </w:r>
          </w:p>
          <w:p>
            <w:pPr>
              <w:spacing w:after="20"/>
            </w:pPr>
            <w:r>
              <w:rPr>
                <w:b w:val="0"/>
                <w:sz w:val="15"/>
              </w:rPr>
              <w:t>NDA -&gt; signed/2026-08-20_... = green, signed.</w:t>
            </w:r>
          </w:p>
          <w:p>
            <w:pPr>
              <w:spacing w:after="20"/>
            </w:pPr>
            <w:r>
              <w:rPr>
                <w:b w:val="0"/>
                <w:sz w:val="15"/>
              </w:rPr>
              <w:t>BAA -&gt; incoming/2026-09-16_... = AMBER, found but NOT signed.</w:t>
            </w:r>
          </w:p>
        </w:tc>
      </w:tr>
      <w:tr>
        <w:tc>
          <w:tcPr>
            <w:tcW w:type="dxa" w:w="576"/>
          </w:tcPr>
          <w:p>
            <w:pPr>
              <w:spacing w:after="20"/>
            </w:pPr>
            <w:r/>
            <w:r>
              <w:rPr>
                <w:b w:val="0"/>
                <w:sz w:val="15"/>
              </w:rPr>
              <w:t>T-02</w:t>
            </w:r>
          </w:p>
        </w:tc>
        <w:tc>
          <w:tcPr>
            <w:tcW w:type="dxa" w:w="2160"/>
          </w:tcPr>
          <w:p>
            <w:pPr>
              <w:spacing w:after="20"/>
            </w:pPr>
            <w:r/>
            <w:r>
              <w:rPr>
                <w:b w:val="0"/>
                <w:sz w:val="15"/>
              </w:rPr>
              <w:t>2026-09-18_​gulf_​crown_​hotels_​msa_​draft.md</w:t>
            </w:r>
          </w:p>
        </w:tc>
        <w:tc>
          <w:tcPr>
            <w:tcW w:type="dxa" w:w="2160"/>
          </w:tcPr>
          <w:p>
            <w:pPr>
              <w:spacing w:after="20"/>
            </w:pPr>
            <w:r/>
            <w:r>
              <w:rPr>
                <w:b w:val="0"/>
                <w:sz w:val="15"/>
              </w:rPr>
              <w:t>Saudi hotel group, AtliQ Pvt Ltd, $140,000, revenue management.</w:t>
            </w:r>
          </w:p>
        </w:tc>
        <w:tc>
          <w:tcPr>
            <w:tcW w:type="dxa" w:w="3312"/>
          </w:tcPr>
          <w:p>
            <w:pPr>
              <w:spacing w:after="20"/>
            </w:pPr>
            <w:r/>
            <w:r>
              <w:rPr>
                <w:b w:val="0"/>
                <w:sz w:val="15"/>
              </w:rPr>
              <w:t>Paperwork: silent.</w:t>
            </w:r>
          </w:p>
          <w:p>
            <w:pPr>
              <w:spacing w:after="20"/>
            </w:pPr>
            <w:r>
              <w:rPr>
                <w:b w:val="0"/>
                <w:sz w:val="15"/>
              </w:rPr>
              <w:t>Verdict 1: CONFLICT — Al Noor GCC non-compete (CM-001), live to 14 Sep 2029.</w:t>
            </w:r>
          </w:p>
          <w:p>
            <w:pPr>
              <w:spacing w:after="20"/>
            </w:pPr>
            <w:r>
              <w:rPr>
                <w:b w:val="0"/>
                <w:sz w:val="15"/>
              </w:rPr>
              <w:t>Waiver box: red — "a waiver exists (CM-002) but it does not cover this engagement".</w:t>
            </w:r>
          </w:p>
          <w:p>
            <w:pPr>
              <w:spacing w:after="20"/>
            </w:pPr>
            <w:r>
              <w:rPr>
                <w:b w:val="0"/>
                <w:sz w:val="15"/>
              </w:rPr>
              <w:t>Verdict 2: IN LINE (1x fees cap).</w:t>
            </w:r>
          </w:p>
        </w:tc>
        <w:tc>
          <w:tcPr>
            <w:tcW w:type="dxa" w:w="2160"/>
          </w:tcPr>
          <w:p>
            <w:pPr>
              <w:spacing w:after="20"/>
            </w:pPr>
            <w:r/>
            <w:r>
              <w:rPr>
                <w:b w:val="0"/>
                <w:sz w:val="15"/>
              </w:rPr>
              <w:t>THE HEADLINE CASE. Tests the tail logic and waiver scoping together.</w:t>
            </w:r>
          </w:p>
        </w:tc>
      </w:tr>
      <w:tr>
        <w:tc>
          <w:tcPr>
            <w:tcW w:type="dxa" w:w="576"/>
          </w:tcPr>
          <w:p>
            <w:pPr>
              <w:spacing w:after="20"/>
            </w:pPr>
            <w:r/>
            <w:r>
              <w:rPr>
                <w:b w:val="0"/>
                <w:sz w:val="15"/>
              </w:rPr>
              <w:t>T-03</w:t>
            </w:r>
          </w:p>
        </w:tc>
        <w:tc>
          <w:tcPr>
            <w:tcW w:type="dxa" w:w="2160"/>
          </w:tcPr>
          <w:p>
            <w:pPr>
              <w:spacing w:after="20"/>
            </w:pPr>
            <w:r/>
            <w:r>
              <w:rPr>
                <w:b w:val="0"/>
                <w:sz w:val="15"/>
              </w:rPr>
              <w:t>2026-09-21_​blueorchid_​hotels_​pilot_​agreement_​draft.md</w:t>
            </w:r>
          </w:p>
        </w:tc>
        <w:tc>
          <w:tcPr>
            <w:tcW w:type="dxa" w:w="2160"/>
          </w:tcPr>
          <w:p>
            <w:pPr>
              <w:spacing w:after="20"/>
            </w:pPr>
            <w:r/>
            <w:r>
              <w:rPr>
                <w:b w:val="0"/>
                <w:sz w:val="15"/>
              </w:rPr>
              <w:t>UAE hotel group, Pvt Ltd, $38,000, Indian law.</w:t>
            </w:r>
          </w:p>
        </w:tc>
        <w:tc>
          <w:tcPr>
            <w:tcW w:type="dxa" w:w="3312"/>
          </w:tcPr>
          <w:p>
            <w:pPr>
              <w:spacing w:after="20"/>
            </w:pPr>
            <w:r/>
            <w:r>
              <w:rPr>
                <w:b w:val="0"/>
                <w:sz w:val="15"/>
              </w:rPr>
              <w:t>Paperwork: silent.</w:t>
            </w:r>
          </w:p>
          <w:p>
            <w:pPr>
              <w:spacing w:after="20"/>
            </w:pPr>
            <w:r>
              <w:rPr>
                <w:b w:val="0"/>
                <w:sz w:val="15"/>
              </w:rPr>
              <w:t>Verdict 1: CONFLICT expected — UAE is inside the Al Noor GCC territory list.</w:t>
            </w:r>
          </w:p>
        </w:tc>
        <w:tc>
          <w:tcPr>
            <w:tcW w:type="dxa" w:w="2160"/>
          </w:tcPr>
          <w:p>
            <w:pPr>
              <w:spacing w:after="20"/>
            </w:pPr>
            <w:r/>
            <w:r>
              <w:rPr>
                <w:b w:val="0"/>
                <w:sz w:val="15"/>
              </w:rPr>
              <w:t>Second instance of the same restriction, different country. Confirms it is not hard-coded to Saudi Arabia.</w:t>
            </w:r>
          </w:p>
        </w:tc>
      </w:tr>
      <w:tr>
        <w:tc>
          <w:tcPr>
            <w:tcW w:type="dxa" w:w="576"/>
          </w:tcPr>
          <w:p>
            <w:pPr>
              <w:spacing w:after="20"/>
            </w:pPr>
            <w:r/>
            <w:r>
              <w:rPr>
                <w:b w:val="0"/>
                <w:sz w:val="15"/>
              </w:rPr>
              <w:t>T-04</w:t>
            </w:r>
          </w:p>
        </w:tc>
        <w:tc>
          <w:tcPr>
            <w:tcW w:type="dxa" w:w="2160"/>
          </w:tcPr>
          <w:p>
            <w:pPr>
              <w:spacing w:after="20"/>
            </w:pPr>
            <w:r/>
            <w:r>
              <w:rPr>
                <w:b w:val="0"/>
                <w:sz w:val="15"/>
              </w:rPr>
              <w:t>2026-09-15_​travelhub_​services_​agreement_​draft.md</w:t>
            </w:r>
          </w:p>
        </w:tc>
        <w:tc>
          <w:tcPr>
            <w:tcW w:type="dxa" w:w="2160"/>
          </w:tcPr>
          <w:p>
            <w:pPr>
              <w:spacing w:after="20"/>
            </w:pPr>
            <w:r/>
            <w:r>
              <w:rPr>
                <w:b w:val="0"/>
                <w:sz w:val="15"/>
              </w:rPr>
              <w:t>Dubai client, but the draft names AtliQ Inc, with Dubai governing law. $52,000.</w:t>
            </w:r>
          </w:p>
        </w:tc>
        <w:tc>
          <w:tcPr>
            <w:tcW w:type="dxa" w:w="3312"/>
          </w:tcPr>
          <w:p>
            <w:pPr>
              <w:spacing w:after="20"/>
            </w:pPr>
            <w:r/>
            <w:r>
              <w:rPr>
                <w:b w:val="0"/>
                <w:sz w:val="15"/>
              </w:rPr>
              <w:t>Paperwork: silent.</w:t>
            </w:r>
          </w:p>
          <w:p>
            <w:pPr>
              <w:spacing w:after="20"/>
            </w:pPr>
            <w:r>
              <w:rPr>
                <w:b w:val="0"/>
                <w:sz w:val="15"/>
              </w:rPr>
              <w:t>Verdict 3: SOMETHING'S MISSING — wrong contracting entity (deterministic).</w:t>
            </w:r>
          </w:p>
          <w:p>
            <w:pPr>
              <w:spacing w:after="20"/>
            </w:pPr>
            <w:r>
              <w:rPr>
                <w:b w:val="0"/>
                <w:sz w:val="15"/>
              </w:rPr>
              <w:t>AtliQ Inc serves the United States only; a Dubai client belongs to Pvt Ltd.</w:t>
            </w:r>
          </w:p>
          <w:p>
            <w:pPr>
              <w:spacing w:after="20"/>
            </w:pPr>
            <w:r>
              <w:rPr>
                <w:b w:val="0"/>
                <w:sz w:val="15"/>
              </w:rPr>
              <w:t>Orbit Travels non-compete appears under Considered and cleared (lapsed 30 Jun 2025).</w:t>
            </w:r>
          </w:p>
        </w:tc>
        <w:tc>
          <w:tcPr>
            <w:tcW w:type="dxa" w:w="2160"/>
          </w:tcPr>
          <w:p>
            <w:pPr>
              <w:spacing w:after="20"/>
            </w:pPr>
            <w:r/>
            <w:r>
              <w:rPr>
                <w:b w:val="0"/>
                <w:sz w:val="15"/>
              </w:rPr>
              <w:t>Tests check 4 and the lapsed-but-shown rule in one run. Exact expected result.</w:t>
            </w:r>
          </w:p>
        </w:tc>
      </w:tr>
      <w:tr>
        <w:tc>
          <w:tcPr>
            <w:tcW w:type="dxa" w:w="576"/>
          </w:tcPr>
          <w:p>
            <w:pPr>
              <w:spacing w:after="20"/>
            </w:pPr>
            <w:r/>
            <w:r>
              <w:rPr>
                <w:b w:val="0"/>
                <w:sz w:val="15"/>
              </w:rPr>
              <w:t>T-05</w:t>
            </w:r>
          </w:p>
        </w:tc>
        <w:tc>
          <w:tcPr>
            <w:tcW w:type="dxa" w:w="2160"/>
          </w:tcPr>
          <w:p>
            <w:pPr>
              <w:spacing w:after="20"/>
            </w:pPr>
            <w:r/>
            <w:r>
              <w:rPr>
                <w:b w:val="0"/>
                <w:sz w:val="15"/>
              </w:rPr>
              <w:t>2026-09-19_​lakeshore_​grocers_​msa_​draft.md</w:t>
            </w:r>
          </w:p>
        </w:tc>
        <w:tc>
          <w:tcPr>
            <w:tcW w:type="dxa" w:w="2160"/>
          </w:tcPr>
          <w:p>
            <w:pPr>
              <w:spacing w:after="20"/>
            </w:pPr>
            <w:r/>
            <w:r>
              <w:rPr>
                <w:b w:val="0"/>
                <w:sz w:val="15"/>
              </w:rPr>
              <w:t>US grocery retail, AtliQ Inc, Illinois law, $64,000 rate card.</w:t>
            </w:r>
          </w:p>
        </w:tc>
        <w:tc>
          <w:tcPr>
            <w:tcW w:type="dxa" w:w="3312"/>
          </w:tcPr>
          <w:p>
            <w:pPr>
              <w:spacing w:after="20"/>
            </w:pPr>
            <w:r/>
            <w:r>
              <w:rPr>
                <w:b w:val="0"/>
                <w:sz w:val="15"/>
              </w:rPr>
              <w:t>Paperwork: silent.</w:t>
            </w:r>
          </w:p>
          <w:p>
            <w:pPr>
              <w:spacing w:after="20"/>
            </w:pPr>
            <w:r>
              <w:rPr>
                <w:b w:val="0"/>
                <w:sz w:val="15"/>
              </w:rPr>
              <w:t>Verdict 1: CONFLICT expected — Crestline most-favoured-pricing (CM-003), live to 31 Jul 2027.</w:t>
            </w:r>
          </w:p>
        </w:tc>
        <w:tc>
          <w:tcPr>
            <w:tcW w:type="dxa" w:w="2160"/>
          </w:tcPr>
          <w:p>
            <w:pPr>
              <w:spacing w:after="20"/>
            </w:pPr>
            <w:r/>
            <w:r>
              <w:rPr>
                <w:b w:val="0"/>
                <w:sz w:val="15"/>
              </w:rPr>
              <w:t>Tests a non-compete-shaped restriction of a different type: pricing, not scope.</w:t>
            </w:r>
          </w:p>
        </w:tc>
      </w:tr>
      <w:tr>
        <w:tc>
          <w:tcPr>
            <w:tcW w:type="dxa" w:w="576"/>
          </w:tcPr>
          <w:p>
            <w:pPr>
              <w:spacing w:after="20"/>
            </w:pPr>
            <w:r/>
            <w:r>
              <w:rPr>
                <w:b w:val="0"/>
                <w:sz w:val="15"/>
              </w:rPr>
              <w:t>T-06</w:t>
            </w:r>
          </w:p>
        </w:tc>
        <w:tc>
          <w:tcPr>
            <w:tcW w:type="dxa" w:w="2160"/>
          </w:tcPr>
          <w:p>
            <w:pPr>
              <w:spacing w:after="20"/>
            </w:pPr>
            <w:r/>
            <w:r>
              <w:rPr>
                <w:b w:val="0"/>
                <w:sz w:val="15"/>
              </w:rPr>
              <w:t>2026-09-23_​rheinwerk_​analytics_​services_​agreement_​draft.md</w:t>
            </w:r>
          </w:p>
        </w:tc>
        <w:tc>
          <w:tcPr>
            <w:tcW w:type="dxa" w:w="2160"/>
          </w:tcPr>
          <w:p>
            <w:pPr>
              <w:spacing w:after="20"/>
            </w:pPr>
            <w:r/>
            <w:r>
              <w:rPr>
                <w:b w:val="0"/>
                <w:sz w:val="15"/>
              </w:rPr>
              <w:t>German client, Pvt Ltd, EUR 88,000. Clause 13.1 references a DPA "attached as Annex 3".</w:t>
            </w:r>
          </w:p>
        </w:tc>
        <w:tc>
          <w:tcPr>
            <w:tcW w:type="dxa" w:w="3312"/>
          </w:tcPr>
          <w:p>
            <w:pPr>
              <w:spacing w:after="20"/>
            </w:pPr>
            <w:r/>
            <w:r>
              <w:rPr>
                <w:b/>
                <w:sz w:val="15"/>
              </w:rPr>
              <w:t>Paperwork banner: FIRES</w:t>
            </w:r>
            <w:r>
              <w:rPr>
                <w:b w:val="0"/>
                <w:sz w:val="15"/>
              </w:rPr>
              <w:t xml:space="preserve"> — EU personal data, GDPR Article 28.</w:t>
            </w:r>
          </w:p>
          <w:p>
            <w:pPr>
              <w:spacing w:after="20"/>
            </w:pPr>
            <w:r>
              <w:rPr>
                <w:b w:val="0"/>
                <w:sz w:val="15"/>
              </w:rPr>
              <w:t>Asks for a DPA. Verdict 3 stays SOMETHING'S MISSING.</w:t>
            </w:r>
          </w:p>
        </w:tc>
        <w:tc>
          <w:tcPr>
            <w:tcW w:type="dxa" w:w="2160"/>
          </w:tcPr>
          <w:p>
            <w:pPr>
              <w:spacing w:after="20"/>
            </w:pPr>
            <w:r/>
            <w:r>
              <w:rPr>
                <w:b w:val="0"/>
                <w:sz w:val="15"/>
              </w:rPr>
              <w:t>The Annex 3 DPA DOES NOT EXIST anywhere in the dataset. Leave it unattached — that is the true state.</w:t>
            </w:r>
          </w:p>
        </w:tc>
      </w:tr>
      <w:tr>
        <w:tc>
          <w:tcPr>
            <w:tcW w:type="dxa" w:w="576"/>
          </w:tcPr>
          <w:p>
            <w:pPr>
              <w:spacing w:after="20"/>
            </w:pPr>
            <w:r/>
            <w:r>
              <w:rPr>
                <w:b w:val="0"/>
                <w:sz w:val="15"/>
              </w:rPr>
              <w:t>T-07</w:t>
            </w:r>
          </w:p>
        </w:tc>
        <w:tc>
          <w:tcPr>
            <w:tcW w:type="dxa" w:w="2160"/>
          </w:tcPr>
          <w:p>
            <w:pPr>
              <w:spacing w:after="20"/>
            </w:pPr>
            <w:r/>
            <w:r>
              <w:rPr>
                <w:b w:val="0"/>
                <w:sz w:val="15"/>
              </w:rPr>
              <w:t>2026-09-27_​daniel_​ortiz_​contractor_​agreement_​draft.md</w:t>
            </w:r>
          </w:p>
        </w:tc>
        <w:tc>
          <w:tcPr>
            <w:tcW w:type="dxa" w:w="2160"/>
          </w:tcPr>
          <w:p>
            <w:pPr>
              <w:spacing w:after="20"/>
            </w:pPr>
            <w:r/>
            <w:r>
              <w:rPr>
                <w:b w:val="0"/>
                <w:sz w:val="15"/>
              </w:rPr>
              <w:t>US freelancer working on Harrington electronic health record data. AtliQ Inc, Texas law.</w:t>
            </w:r>
          </w:p>
        </w:tc>
        <w:tc>
          <w:tcPr>
            <w:tcW w:type="dxa" w:w="3312"/>
          </w:tcPr>
          <w:p>
            <w:pPr>
              <w:spacing w:after="20"/>
            </w:pPr>
            <w:r/>
            <w:r>
              <w:rPr>
                <w:b/>
                <w:sz w:val="15"/>
              </w:rPr>
              <w:t>Paperwork banner: FIRES</w:t>
            </w:r>
            <w:r>
              <w:rPr>
                <w:b w:val="0"/>
                <w:sz w:val="15"/>
              </w:rPr>
              <w:t xml:space="preserve"> — subcontractor or freelancer touching regulated data.</w:t>
            </w:r>
          </w:p>
          <w:p>
            <w:pPr>
              <w:spacing w:after="20"/>
            </w:pPr>
            <w:r>
              <w:rPr>
                <w:b w:val="0"/>
                <w:sz w:val="15"/>
              </w:rPr>
              <w:t>Asks for a signed BAA flow-down with this contractor.</w:t>
            </w:r>
          </w:p>
        </w:tc>
        <w:tc>
          <w:tcPr>
            <w:tcW w:type="dxa" w:w="2160"/>
          </w:tcPr>
          <w:p>
            <w:pPr>
              <w:spacing w:after="20"/>
            </w:pPr>
            <w:r/>
            <w:r>
              <w:rPr>
                <w:b w:val="0"/>
                <w:sz w:val="15"/>
              </w:rPr>
              <w:t>Traces to Karandeep's own rule: "If there's a healthcare project, I would want to sign BAA for my freelancers as well." No such document exists.</w:t>
            </w:r>
          </w:p>
        </w:tc>
      </w:tr>
      <w:tr>
        <w:tc>
          <w:tcPr>
            <w:tcW w:type="dxa" w:w="576"/>
          </w:tcPr>
          <w:p>
            <w:pPr>
              <w:spacing w:after="20"/>
            </w:pPr>
            <w:r/>
            <w:r>
              <w:rPr>
                <w:b w:val="0"/>
                <w:sz w:val="15"/>
              </w:rPr>
              <w:t>T-08</w:t>
            </w:r>
          </w:p>
        </w:tc>
        <w:tc>
          <w:tcPr>
            <w:tcW w:type="dxa" w:w="2160"/>
          </w:tcPr>
          <w:p>
            <w:pPr>
              <w:spacing w:after="20"/>
            </w:pPr>
            <w:r/>
            <w:r>
              <w:rPr>
                <w:b w:val="0"/>
                <w:sz w:val="15"/>
              </w:rPr>
              <w:t>2026-09-24_​datavane_​strategic_​partnership_​agreement_​draft.md</w:t>
            </w:r>
          </w:p>
        </w:tc>
        <w:tc>
          <w:tcPr>
            <w:tcW w:type="dxa" w:w="2160"/>
          </w:tcPr>
          <w:p>
            <w:pPr>
              <w:spacing w:after="20"/>
            </w:pPr>
            <w:r/>
            <w:r>
              <w:rPr>
                <w:b w:val="0"/>
                <w:sz w:val="15"/>
              </w:rPr>
              <w:t>Partnership agreement. Datavane caps ITS OWN liability at USD 10,000.</w:t>
            </w:r>
          </w:p>
        </w:tc>
        <w:tc>
          <w:tcPr>
            <w:tcW w:type="dxa" w:w="3312"/>
          </w:tcPr>
          <w:p>
            <w:pPr>
              <w:spacing w:after="20"/>
            </w:pPr>
            <w:r/>
            <w:r>
              <w:rPr>
                <w:b w:val="0"/>
                <w:sz w:val="15"/>
              </w:rPr>
              <w:t>Paperwork: silent.</w:t>
            </w:r>
          </w:p>
          <w:p>
            <w:pPr>
              <w:spacing w:after="20"/>
            </w:pPr>
            <w:r>
              <w:rPr>
                <w:b w:val="0"/>
                <w:sz w:val="15"/>
              </w:rPr>
              <w:t>Verdict 1: CONFLICT expected — CloudSpan exclusivity (CM-004), live to 31 Aug 2028.</w:t>
            </w:r>
          </w:p>
          <w:p>
            <w:pPr>
              <w:spacing w:after="20"/>
            </w:pPr>
            <w:r>
              <w:rPr>
                <w:b w:val="0"/>
                <w:sz w:val="15"/>
              </w:rPr>
              <w:t>Verdict 2: OUT OF PATTERN expected on the $10,000 cap.</w:t>
            </w:r>
          </w:p>
        </w:tc>
        <w:tc>
          <w:tcPr>
            <w:tcW w:type="dxa" w:w="2160"/>
          </w:tcPr>
          <w:p>
            <w:pPr>
              <w:spacing w:after="20"/>
            </w:pPr>
            <w:r/>
            <w:r>
              <w:rPr>
                <w:b w:val="0"/>
                <w:sz w:val="15"/>
              </w:rPr>
              <w:t>Tests proportionality against a counterparty-favourable cap rather than an AtliQ-unfavourable one.</w:t>
            </w:r>
          </w:p>
        </w:tc>
      </w:tr>
      <w:tr>
        <w:tc>
          <w:tcPr>
            <w:tcW w:type="dxa" w:w="576"/>
          </w:tcPr>
          <w:p>
            <w:pPr>
              <w:spacing w:after="20"/>
            </w:pPr>
            <w:r/>
            <w:r>
              <w:rPr>
                <w:b w:val="0"/>
                <w:sz w:val="15"/>
              </w:rPr>
              <w:t>T-09</w:t>
            </w:r>
          </w:p>
        </w:tc>
        <w:tc>
          <w:tcPr>
            <w:tcW w:type="dxa" w:w="2160"/>
          </w:tcPr>
          <w:p>
            <w:pPr>
              <w:spacing w:after="20"/>
            </w:pPr>
            <w:r/>
            <w:r>
              <w:rPr>
                <w:b w:val="0"/>
                <w:sz w:val="15"/>
              </w:rPr>
              <w:t>2026-09-26_​kriti_​data_​labs_​subcontractor_​agreement_​draft.md</w:t>
            </w:r>
          </w:p>
        </w:tc>
        <w:tc>
          <w:tcPr>
            <w:tcW w:type="dxa" w:w="2160"/>
          </w:tcPr>
          <w:p>
            <w:pPr>
              <w:spacing w:after="20"/>
            </w:pPr>
            <w:r/>
            <w:r>
              <w:rPr>
                <w:b w:val="0"/>
                <w:sz w:val="15"/>
              </w:rPr>
              <w:t>Indian subcontractor. End client named as Rheinwerk Analytics GmbH, Munich.</w:t>
            </w:r>
          </w:p>
        </w:tc>
        <w:tc>
          <w:tcPr>
            <w:tcW w:type="dxa" w:w="3312"/>
          </w:tcPr>
          <w:p>
            <w:pPr>
              <w:spacing w:after="20"/>
            </w:pPr>
            <w:r/>
            <w:r>
              <w:rPr>
                <w:b w:val="0"/>
                <w:sz w:val="15"/>
              </w:rPr>
              <w:t>Paperwork: SILENT — and this is a KNOWN GAP, not a pass.</w:t>
            </w:r>
          </w:p>
          <w:p>
            <w:pPr>
              <w:spacing w:after="20"/>
            </w:pPr>
            <w:r>
              <w:rPr>
                <w:b w:val="0"/>
                <w:sz w:val="15"/>
              </w:rPr>
              <w:t>See section 7, limitation L-1.</w:t>
            </w:r>
          </w:p>
        </w:tc>
        <w:tc>
          <w:tcPr>
            <w:tcW w:type="dxa" w:w="2160"/>
          </w:tcPr>
          <w:p>
            <w:pPr>
              <w:spacing w:after="20"/>
            </w:pPr>
            <w:r/>
            <w:r>
              <w:rPr>
                <w:b w:val="0"/>
                <w:sz w:val="15"/>
              </w:rPr>
              <w:t>The subcontract never uses the words "personal data" or "GDPR", so the scan has nothing to catch, even though AtliQ owes Rheinwerk GDPR obligations.</w:t>
            </w:r>
          </w:p>
        </w:tc>
      </w:tr>
      <w:tr>
        <w:tc>
          <w:tcPr>
            <w:tcW w:type="dxa" w:w="576"/>
          </w:tcPr>
          <w:p>
            <w:pPr>
              <w:spacing w:after="20"/>
            </w:pPr>
            <w:r/>
            <w:r>
              <w:rPr>
                <w:b w:val="0"/>
                <w:sz w:val="15"/>
              </w:rPr>
              <w:t>T-10</w:t>
            </w:r>
          </w:p>
        </w:tc>
        <w:tc>
          <w:tcPr>
            <w:tcW w:type="dxa" w:w="2160"/>
          </w:tcPr>
          <w:p>
            <w:pPr>
              <w:spacing w:after="20"/>
            </w:pPr>
            <w:r/>
            <w:r>
              <w:rPr>
                <w:b w:val="0"/>
                <w:sz w:val="15"/>
              </w:rPr>
              <w:t>2026-09-27_​loopmart_​mutual_​nda_​draft.md</w:t>
            </w:r>
          </w:p>
        </w:tc>
        <w:tc>
          <w:tcPr>
            <w:tcW w:type="dxa" w:w="2160"/>
          </w:tcPr>
          <w:p>
            <w:pPr>
              <w:spacing w:after="20"/>
            </w:pPr>
            <w:r/>
            <w:r>
              <w:rPr>
                <w:b w:val="0"/>
                <w:sz w:val="15"/>
              </w:rPr>
              <w:t>Indian retail mutual NDA. No fees.</w:t>
            </w:r>
          </w:p>
        </w:tc>
        <w:tc>
          <w:tcPr>
            <w:tcW w:type="dxa" w:w="3312"/>
          </w:tcPr>
          <w:p>
            <w:pPr>
              <w:spacing w:after="20"/>
            </w:pPr>
            <w:r/>
            <w:r>
              <w:rPr>
                <w:b w:val="0"/>
                <w:sz w:val="15"/>
              </w:rPr>
              <w:t>Paperwork: silent.</w:t>
            </w:r>
          </w:p>
          <w:p>
            <w:pPr>
              <w:spacing w:after="20"/>
            </w:pPr>
            <w:r>
              <w:rPr>
                <w:b w:val="0"/>
                <w:sz w:val="15"/>
              </w:rPr>
              <w:t>Verdict 1: NOTHING FOUND.</w:t>
            </w:r>
          </w:p>
          <w:p>
            <w:pPr>
              <w:spacing w:after="20"/>
            </w:pPr>
            <w:r>
              <w:rPr>
                <w:b w:val="0"/>
                <w:sz w:val="15"/>
              </w:rPr>
              <w:t>Verdict 2: NOT APPLICABLE — an NDA carries no fees, so there is nothing to measure risk against.</w:t>
            </w:r>
          </w:p>
          <w:p>
            <w:pPr>
              <w:spacing w:after="20"/>
            </w:pPr>
            <w:r>
              <w:rPr>
                <w:b w:val="0"/>
                <w:sz w:val="15"/>
              </w:rPr>
              <w:t>Verdict 3: COMPLETE.</w:t>
            </w:r>
          </w:p>
        </w:tc>
        <w:tc>
          <w:tcPr>
            <w:tcW w:type="dxa" w:w="2160"/>
          </w:tcPr>
          <w:p>
            <w:pPr>
              <w:spacing w:after="20"/>
            </w:pPr>
            <w:r/>
            <w:r>
              <w:rPr>
                <w:b w:val="0"/>
                <w:sz w:val="15"/>
              </w:rPr>
              <w:t>THE CLEAN CONTROL. Three green lines. Also tests NOT APPLICABLE being distinguished from COULD NOT CHECK.</w:t>
            </w:r>
          </w:p>
        </w:tc>
      </w:tr>
      <w:tr>
        <w:tc>
          <w:tcPr>
            <w:tcW w:type="dxa" w:w="576"/>
          </w:tcPr>
          <w:p>
            <w:pPr>
              <w:spacing w:after="20"/>
            </w:pPr>
            <w:r/>
            <w:r>
              <w:rPr>
                <w:b w:val="0"/>
                <w:sz w:val="15"/>
              </w:rPr>
              <w:t>T-11</w:t>
            </w:r>
          </w:p>
        </w:tc>
        <w:tc>
          <w:tcPr>
            <w:tcW w:type="dxa" w:w="2160"/>
          </w:tcPr>
          <w:p>
            <w:pPr>
              <w:spacing w:after="20"/>
            </w:pPr>
            <w:r/>
            <w:r>
              <w:rPr>
                <w:b w:val="0"/>
                <w:sz w:val="15"/>
              </w:rPr>
              <w:t>2026-09-25_​finserve_​capital_​mutual_​nda_​draft.md</w:t>
            </w:r>
          </w:p>
        </w:tc>
        <w:tc>
          <w:tcPr>
            <w:tcW w:type="dxa" w:w="2160"/>
          </w:tcPr>
          <w:p>
            <w:pPr>
              <w:spacing w:after="20"/>
            </w:pPr>
            <w:r/>
            <w:r>
              <w:rPr>
                <w:b w:val="0"/>
                <w:sz w:val="15"/>
              </w:rPr>
              <w:t>Indian financial services mutual NDA.</w:t>
            </w:r>
          </w:p>
        </w:tc>
        <w:tc>
          <w:tcPr>
            <w:tcW w:type="dxa" w:w="3312"/>
          </w:tcPr>
          <w:p>
            <w:pPr>
              <w:spacing w:after="20"/>
            </w:pPr>
            <w:r/>
            <w:r>
              <w:rPr>
                <w:b w:val="0"/>
                <w:sz w:val="15"/>
              </w:rPr>
              <w:t>Paperwork: silent. Expect the same clean shape as T-10.</w:t>
            </w:r>
          </w:p>
        </w:tc>
        <w:tc>
          <w:tcPr>
            <w:tcW w:type="dxa" w:w="2160"/>
          </w:tcPr>
          <w:p>
            <w:pPr>
              <w:spacing w:after="20"/>
            </w:pPr>
            <w:r/>
            <w:r>
              <w:rPr>
                <w:b w:val="0"/>
                <w:sz w:val="15"/>
              </w:rPr>
              <w:t>Second clean control, different sector. Guards against a sector-specific false positive.</w:t>
            </w:r>
          </w:p>
        </w:tc>
      </w:tr>
      <w:tr>
        <w:tc>
          <w:tcPr>
            <w:tcW w:type="dxa" w:w="576"/>
          </w:tcPr>
          <w:p>
            <w:pPr>
              <w:spacing w:after="20"/>
            </w:pPr>
            <w:r/>
            <w:r>
              <w:rPr>
                <w:b w:val="0"/>
                <w:sz w:val="15"/>
              </w:rPr>
              <w:t>T-12</w:t>
            </w:r>
          </w:p>
        </w:tc>
        <w:tc>
          <w:tcPr>
            <w:tcW w:type="dxa" w:w="2160"/>
          </w:tcPr>
          <w:p>
            <w:pPr>
              <w:spacing w:after="20"/>
            </w:pPr>
            <w:r/>
            <w:r>
              <w:rPr>
                <w:b w:val="0"/>
                <w:sz w:val="15"/>
              </w:rPr>
              <w:t>2026-09-24_​sunrise_​foods_​sow2_​draft.md</w:t>
            </w:r>
          </w:p>
        </w:tc>
        <w:tc>
          <w:tcPr>
            <w:tcW w:type="dxa" w:w="2160"/>
          </w:tcPr>
          <w:p>
            <w:pPr>
              <w:spacing w:after="20"/>
            </w:pPr>
            <w:r/>
            <w:r>
              <w:rPr>
                <w:b w:val="0"/>
                <w:sz w:val="15"/>
              </w:rPr>
              <w:t>Second SOW under an existing signed Sunrise Foods MSA. Indian client.</w:t>
            </w:r>
          </w:p>
        </w:tc>
        <w:tc>
          <w:tcPr>
            <w:tcW w:type="dxa" w:w="3312"/>
          </w:tcPr>
          <w:p>
            <w:pPr>
              <w:spacing w:after="20"/>
            </w:pPr>
            <w:r/>
            <w:r>
              <w:rPr>
                <w:b w:val="0"/>
                <w:sz w:val="15"/>
              </w:rPr>
              <w:t>Paperwork: silent.</w:t>
            </w:r>
          </w:p>
          <w:p>
            <w:pPr>
              <w:spacing w:after="20"/>
            </w:pPr>
            <w:r>
              <w:rPr>
                <w:b w:val="0"/>
                <w:sz w:val="15"/>
              </w:rPr>
              <w:t>Expect few or no findings — AtliQ already has a signed MSA with this client.</w:t>
            </w:r>
          </w:p>
        </w:tc>
        <w:tc>
          <w:tcPr>
            <w:tcW w:type="dxa" w:w="2160"/>
          </w:tcPr>
          <w:p>
            <w:pPr>
              <w:spacing w:after="20"/>
            </w:pPr>
            <w:r/>
            <w:r>
              <w:rPr>
                <w:b w:val="0"/>
                <w:sz w:val="15"/>
              </w:rPr>
              <w:t>Tests that an existing relationship does not itself produce a conflict.</w:t>
            </w:r>
          </w:p>
        </w:tc>
      </w:tr>
      <w:tr>
        <w:tc>
          <w:tcPr>
            <w:tcW w:type="dxa" w:w="576"/>
          </w:tcPr>
          <w:p>
            <w:pPr>
              <w:spacing w:after="20"/>
            </w:pPr>
            <w:r/>
            <w:r>
              <w:rPr>
                <w:b w:val="0"/>
                <w:sz w:val="15"/>
              </w:rPr>
              <w:t>T-13</w:t>
            </w:r>
          </w:p>
        </w:tc>
        <w:tc>
          <w:tcPr>
            <w:tcW w:type="dxa" w:w="2160"/>
          </w:tcPr>
          <w:p>
            <w:pPr>
              <w:spacing w:after="20"/>
            </w:pPr>
            <w:r/>
            <w:r>
              <w:rPr>
                <w:b w:val="0"/>
                <w:sz w:val="15"/>
              </w:rPr>
              <w:t>2026-09-27_​daniel_​ortiz_​nda_​draft.md</w:t>
            </w:r>
          </w:p>
        </w:tc>
        <w:tc>
          <w:tcPr>
            <w:tcW w:type="dxa" w:w="2160"/>
          </w:tcPr>
          <w:p>
            <w:pPr>
              <w:spacing w:after="20"/>
            </w:pPr>
            <w:r/>
            <w:r>
              <w:rPr>
                <w:b w:val="0"/>
                <w:sz w:val="15"/>
              </w:rPr>
              <w:t>NDA with the same US freelancer.</w:t>
            </w:r>
          </w:p>
        </w:tc>
        <w:tc>
          <w:tcPr>
            <w:tcW w:type="dxa" w:w="3312"/>
          </w:tcPr>
          <w:p>
            <w:pPr>
              <w:spacing w:after="20"/>
            </w:pPr>
            <w:r/>
            <w:r>
              <w:rPr>
                <w:b w:val="0"/>
                <w:sz w:val="15"/>
              </w:rPr>
              <w:t>Paperwork: silent — an NDA alone delivers no services.</w:t>
            </w:r>
          </w:p>
        </w:tc>
        <w:tc>
          <w:tcPr>
            <w:tcW w:type="dxa" w:w="2160"/>
          </w:tcPr>
          <w:p>
            <w:pPr>
              <w:spacing w:after="20"/>
            </w:pPr>
            <w:r/>
            <w:r>
              <w:rPr>
                <w:b w:val="0"/>
                <w:sz w:val="15"/>
              </w:rPr>
              <w:t>Paired with T-07. Shows the relevance gate: the same person, different document type, different answer.</w:t>
            </w:r>
          </w:p>
        </w:tc>
      </w:tr>
      <w:tr>
        <w:tc>
          <w:tcPr>
            <w:tcW w:type="dxa" w:w="576"/>
          </w:tcPr>
          <w:p>
            <w:pPr>
              <w:spacing w:after="20"/>
            </w:pPr>
            <w:r/>
            <w:r>
              <w:rPr>
                <w:b w:val="0"/>
                <w:sz w:val="15"/>
              </w:rPr>
              <w:t>T-14</w:t>
            </w:r>
          </w:p>
        </w:tc>
        <w:tc>
          <w:tcPr>
            <w:tcW w:type="dxa" w:w="2160"/>
          </w:tcPr>
          <w:p>
            <w:pPr>
              <w:spacing w:after="20"/>
            </w:pPr>
            <w:r/>
            <w:r>
              <w:rPr>
                <w:b w:val="0"/>
                <w:sz w:val="15"/>
              </w:rPr>
              <w:t>2026-09-27_​marcus_​reed_​contractor_​agreement_​draft.md</w:t>
            </w:r>
          </w:p>
        </w:tc>
        <w:tc>
          <w:tcPr>
            <w:tcW w:type="dxa" w:w="2160"/>
          </w:tcPr>
          <w:p>
            <w:pPr>
              <w:spacing w:after="20"/>
            </w:pPr>
            <w:r/>
            <w:r>
              <w:rPr>
                <w:b w:val="0"/>
                <w:sz w:val="15"/>
              </w:rPr>
              <w:t>US-based contractor, Pvt Ltd named, Indian governing law.</w:t>
            </w:r>
          </w:p>
        </w:tc>
        <w:tc>
          <w:tcPr>
            <w:tcW w:type="dxa" w:w="3312"/>
          </w:tcPr>
          <w:p>
            <w:pPr>
              <w:spacing w:after="20"/>
            </w:pPr>
            <w:r/>
            <w:r>
              <w:rPr>
                <w:b w:val="0"/>
                <w:sz w:val="15"/>
              </w:rPr>
              <w:t>Paperwork: silent (no regulated data).</w:t>
            </w:r>
          </w:p>
          <w:p>
            <w:pPr>
              <w:spacing w:after="20"/>
            </w:pPr>
            <w:r>
              <w:rPr>
                <w:b w:val="0"/>
                <w:sz w:val="15"/>
              </w:rPr>
              <w:t>Entity check may comment.</w:t>
            </w:r>
          </w:p>
        </w:tc>
        <w:tc>
          <w:tcPr>
            <w:tcW w:type="dxa" w:w="2160"/>
          </w:tcPr>
          <w:p>
            <w:pPr>
              <w:spacing w:after="20"/>
            </w:pPr>
            <w:r/>
            <w:r>
              <w:rPr>
                <w:b w:val="0"/>
                <w:sz w:val="15"/>
              </w:rPr>
              <w:t>Contractor paperwork is HR scope and out of product scope. Included for coverage only.</w:t>
            </w:r>
          </w:p>
        </w:tc>
      </w:tr>
      <w:tr>
        <w:tc>
          <w:tcPr>
            <w:tcW w:type="dxa" w:w="576"/>
          </w:tcPr>
          <w:p>
            <w:pPr>
              <w:spacing w:after="20"/>
            </w:pPr>
            <w:r/>
            <w:r>
              <w:rPr>
                <w:b w:val="0"/>
                <w:sz w:val="15"/>
              </w:rPr>
              <w:t>T-15</w:t>
            </w:r>
          </w:p>
        </w:tc>
        <w:tc>
          <w:tcPr>
            <w:tcW w:type="dxa" w:w="2160"/>
          </w:tcPr>
          <w:p>
            <w:pPr>
              <w:spacing w:after="20"/>
            </w:pPr>
            <w:r/>
            <w:r>
              <w:rPr>
                <w:b w:val="0"/>
                <w:sz w:val="15"/>
              </w:rPr>
              <w:t>2026-09-16_​harrington_​health_​baa_​draft.md</w:t>
            </w:r>
          </w:p>
        </w:tc>
        <w:tc>
          <w:tcPr>
            <w:tcW w:type="dxa" w:w="2160"/>
          </w:tcPr>
          <w:p>
            <w:pPr>
              <w:spacing w:after="20"/>
            </w:pPr>
            <w:r/>
            <w:r>
              <w:rPr>
                <w:b w:val="0"/>
                <w:sz w:val="15"/>
              </w:rPr>
              <w:t>The Harrington BAA itself, reviewed as if it were the main contract.</w:t>
            </w:r>
          </w:p>
        </w:tc>
        <w:tc>
          <w:tcPr>
            <w:tcW w:type="dxa" w:w="3312"/>
          </w:tcPr>
          <w:p>
            <w:pPr>
              <w:spacing w:after="20"/>
            </w:pPr>
            <w:r/>
            <w:r>
              <w:rPr>
                <w:b/>
                <w:sz w:val="15"/>
              </w:rPr>
              <w:t>Paperwork banner: FIRES</w:t>
            </w:r>
            <w:r>
              <w:rPr>
                <w:b w:val="0"/>
                <w:sz w:val="15"/>
              </w:rPr>
              <w:t xml:space="preserve"> — US healthcare.</w:t>
            </w:r>
          </w:p>
          <w:p>
            <w:pPr>
              <w:spacing w:after="20"/>
            </w:pPr>
            <w:r>
              <w:rPr>
                <w:b w:val="0"/>
                <w:sz w:val="15"/>
              </w:rPr>
              <w:t>Verdict 2: COULD NOT CHECK — a BAA states no contract value.</w:t>
            </w:r>
          </w:p>
        </w:tc>
        <w:tc>
          <w:tcPr>
            <w:tcW w:type="dxa" w:w="2160"/>
          </w:tcPr>
          <w:p>
            <w:pPr>
              <w:spacing w:after="20"/>
            </w:pPr>
            <w:r/>
            <w:r>
              <w:rPr>
                <w:b w:val="0"/>
                <w:sz w:val="15"/>
              </w:rPr>
              <w:t>An odd thing to review on its own, but a useful edge case: the tool does not fall over when handed a companion document as the subject.</w:t>
            </w:r>
          </w:p>
        </w:tc>
      </w:tr>
    </w:tbl>
    <w:p>
      <w:pPr>
        <w:spacing w:after="120"/>
      </w:pPr>
    </w:p>
    <w:p>
      <w:r>
        <w:br w:type="page"/>
      </w:r>
    </w:p>
    <w:p>
      <w:pPr>
        <w:pStyle w:val="Heading1"/>
      </w:pPr>
      <w:r>
        <w:rPr>
          <w:color w:val="16213A"/>
        </w:rPr>
        <w:t>6. Negative and edge tests</w:t>
      </w:r>
    </w:p>
    <w:p>
      <w:pPr>
        <w:spacing w:after="120"/>
      </w:pPr>
      <w:r>
        <w:rPr>
          <w:b w:val="0"/>
          <w:i w:val="0"/>
          <w:sz w:val="20"/>
        </w:rPr>
        <w:t>These matter more than the happy path. A review tool that is wrong is worse than no tool.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tcPr>
          <w:p>
            <w:r/>
            <w:r>
              <w:rPr>
                <w:b/>
                <w:color w:val="16213A"/>
                <w:sz w:val="16"/>
              </w:rPr>
              <w:t>ID</w:t>
            </w:r>
          </w:p>
        </w:tc>
        <w:tc>
          <w:tcPr>
            <w:tcW w:type="dxa" w:w="2664"/>
          </w:tcPr>
          <w:p>
            <w:r/>
            <w:r>
              <w:rPr>
                <w:b/>
                <w:color w:val="16213A"/>
                <w:sz w:val="16"/>
              </w:rPr>
              <w:t>Test</w:t>
            </w:r>
          </w:p>
        </w:tc>
        <w:tc>
          <w:tcPr>
            <w:tcW w:type="dxa" w:w="3312"/>
          </w:tcPr>
          <w:p>
            <w:r/>
            <w:r>
              <w:rPr>
                <w:b/>
                <w:color w:val="16213A"/>
                <w:sz w:val="16"/>
              </w:rPr>
              <w:t>Expected</w:t>
            </w:r>
          </w:p>
        </w:tc>
        <w:tc>
          <w:tcPr>
            <w:tcW w:type="dxa" w:w="3744"/>
          </w:tcPr>
          <w:p>
            <w:r/>
            <w:r>
              <w:rPr>
                <w:b/>
                <w:color w:val="16213A"/>
                <w:sz w:val="16"/>
              </w:rPr>
              <w:t>What it protects against</w:t>
            </w:r>
          </w:p>
        </w:tc>
      </w:tr>
      <w:tr>
        <w:tc>
          <w:tcPr>
            <w:tcW w:type="dxa" w:w="648"/>
          </w:tcPr>
          <w:p>
            <w:pPr>
              <w:spacing w:after="20"/>
            </w:pPr>
            <w:r/>
            <w:r>
              <w:rPr>
                <w:b w:val="0"/>
                <w:sz w:val="16"/>
              </w:rPr>
              <w:t>N-01</w:t>
            </w:r>
          </w:p>
        </w:tc>
        <w:tc>
          <w:tcPr>
            <w:tcW w:type="dxa" w:w="2664"/>
          </w:tcPr>
          <w:p>
            <w:pPr>
              <w:spacing w:after="20"/>
            </w:pPr>
            <w:r/>
            <w:r>
              <w:rPr>
                <w:b w:val="0"/>
                <w:sz w:val="16"/>
              </w:rPr>
              <w:t>Attach the Harrington NDA in the BAA row (T-01)</w:t>
            </w:r>
          </w:p>
        </w:tc>
        <w:tc>
          <w:tcPr>
            <w:tcW w:type="dxa" w:w="3312"/>
          </w:tcPr>
          <w:p>
            <w:pPr>
              <w:spacing w:after="20"/>
            </w:pPr>
            <w:r/>
            <w:r>
              <w:rPr>
                <w:b w:val="0"/>
                <w:sz w:val="16"/>
              </w:rPr>
              <w:t>RED — "This file does not look like a Business Associate Agreement. It reads as: NDA."</w:t>
            </w:r>
          </w:p>
        </w:tc>
        <w:tc>
          <w:tcPr>
            <w:tcW w:type="dxa" w:w="3744"/>
          </w:tcPr>
          <w:p>
            <w:pPr>
              <w:spacing w:after="20"/>
            </w:pPr>
            <w:r/>
            <w:r>
              <w:rPr>
                <w:b w:val="0"/>
                <w:sz w:val="16"/>
              </w:rPr>
              <w:t>The NDA mentions a BAA in its text. An earlier build read mentioning as being.</w:t>
            </w:r>
          </w:p>
        </w:tc>
      </w:tr>
      <w:tr>
        <w:tc>
          <w:tcPr>
            <w:tcW w:type="dxa" w:w="648"/>
          </w:tcPr>
          <w:p>
            <w:pPr>
              <w:spacing w:after="20"/>
            </w:pPr>
            <w:r/>
            <w:r>
              <w:rPr>
                <w:b w:val="0"/>
                <w:sz w:val="16"/>
              </w:rPr>
              <w:t>N-02</w:t>
            </w:r>
          </w:p>
        </w:tc>
        <w:tc>
          <w:tcPr>
            <w:tcW w:type="dxa" w:w="2664"/>
          </w:tcPr>
          <w:p>
            <w:pPr>
              <w:spacing w:after="20"/>
            </w:pPr>
            <w:r/>
            <w:r>
              <w:rPr>
                <w:b w:val="0"/>
                <w:sz w:val="16"/>
              </w:rPr>
              <w:t>Attach the unsigned BAA draft (T-01)</w:t>
            </w:r>
          </w:p>
        </w:tc>
        <w:tc>
          <w:tcPr>
            <w:tcW w:type="dxa" w:w="3312"/>
          </w:tcPr>
          <w:p>
            <w:pPr>
              <w:spacing w:after="20"/>
            </w:pPr>
            <w:r/>
            <w:r>
              <w:rPr>
                <w:b w:val="0"/>
                <w:sz w:val="16"/>
              </w:rPr>
              <w:t>AMBER — found but not signed, 6 unfilled signature fields. Still counts as missing.</w:t>
            </w:r>
          </w:p>
        </w:tc>
        <w:tc>
          <w:tcPr>
            <w:tcW w:type="dxa" w:w="3744"/>
          </w:tcPr>
          <w:p>
            <w:pPr>
              <w:spacing w:after="20"/>
            </w:pPr>
            <w:r/>
            <w:r>
              <w:rPr>
                <w:b w:val="0"/>
                <w:sz w:val="16"/>
              </w:rPr>
              <w:t>A BAA nobody signed satisfies nothing under HIPAA. "We have one" is not the test.</w:t>
            </w:r>
          </w:p>
        </w:tc>
      </w:tr>
      <w:tr>
        <w:tc>
          <w:tcPr>
            <w:tcW w:type="dxa" w:w="648"/>
          </w:tcPr>
          <w:p>
            <w:pPr>
              <w:spacing w:after="20"/>
            </w:pPr>
            <w:r/>
            <w:r>
              <w:rPr>
                <w:b w:val="0"/>
                <w:sz w:val="16"/>
              </w:rPr>
              <w:t>N-03</w:t>
            </w:r>
          </w:p>
        </w:tc>
        <w:tc>
          <w:tcPr>
            <w:tcW w:type="dxa" w:w="2664"/>
          </w:tcPr>
          <w:p>
            <w:pPr>
              <w:spacing w:after="20"/>
            </w:pPr>
            <w:r/>
            <w:r>
              <w:rPr>
                <w:b w:val="0"/>
                <w:sz w:val="16"/>
              </w:rPr>
              <w:t>Roll the date forward to 2029-10-01 on T-02</w:t>
            </w:r>
          </w:p>
        </w:tc>
        <w:tc>
          <w:tcPr>
            <w:tcW w:type="dxa" w:w="3312"/>
          </w:tcPr>
          <w:p>
            <w:pPr>
              <w:spacing w:after="20"/>
            </w:pPr>
            <w:r/>
            <w:r>
              <w:rPr>
                <w:b w:val="0"/>
                <w:sz w:val="16"/>
              </w:rPr>
              <w:t>Al Noor moves from a finding to Considered and cleared.</w:t>
            </w:r>
          </w:p>
        </w:tc>
        <w:tc>
          <w:tcPr>
            <w:tcW w:type="dxa" w:w="3744"/>
          </w:tcPr>
          <w:p>
            <w:pPr>
              <w:spacing w:after="20"/>
            </w:pPr>
            <w:r/>
            <w:r>
              <w:rPr>
                <w:b w:val="0"/>
                <w:sz w:val="16"/>
              </w:rPr>
              <w:t>The 18-month tail expiring. Proves liveness is on the obligation date, not the contract date.</w:t>
            </w:r>
          </w:p>
        </w:tc>
      </w:tr>
      <w:tr>
        <w:tc>
          <w:tcPr>
            <w:tcW w:type="dxa" w:w="648"/>
          </w:tcPr>
          <w:p>
            <w:pPr>
              <w:spacing w:after="20"/>
            </w:pPr>
            <w:r/>
            <w:r>
              <w:rPr>
                <w:b w:val="0"/>
                <w:sz w:val="16"/>
              </w:rPr>
              <w:t>N-04</w:t>
            </w:r>
          </w:p>
        </w:tc>
        <w:tc>
          <w:tcPr>
            <w:tcW w:type="dxa" w:w="2664"/>
          </w:tcPr>
          <w:p>
            <w:pPr>
              <w:spacing w:after="20"/>
            </w:pPr>
            <w:r/>
            <w:r>
              <w:rPr>
                <w:b w:val="0"/>
                <w:sz w:val="16"/>
              </w:rPr>
              <w:t>Roll the date back to 2028-06-01 on T-02</w:t>
            </w:r>
          </w:p>
        </w:tc>
        <w:tc>
          <w:tcPr>
            <w:tcW w:type="dxa" w:w="3312"/>
          </w:tcPr>
          <w:p>
            <w:pPr>
              <w:spacing w:after="20"/>
            </w:pPr>
            <w:r/>
            <w:r>
              <w:rPr>
                <w:b w:val="0"/>
                <w:sz w:val="16"/>
              </w:rPr>
              <w:t>Al Noor still a CONFLICT, although the contract itself expired 14 Mar 2028.</w:t>
            </w:r>
          </w:p>
        </w:tc>
        <w:tc>
          <w:tcPr>
            <w:tcW w:type="dxa" w:w="3744"/>
          </w:tcPr>
          <w:p>
            <w:pPr>
              <w:spacing w:after="20"/>
            </w:pPr>
            <w:r/>
            <w:r>
              <w:rPr>
                <w:b w:val="0"/>
                <w:sz w:val="16"/>
              </w:rPr>
              <w:t>The inverse. A system keyed on contract end would clear a blocked deal for 18 months.</w:t>
            </w:r>
          </w:p>
        </w:tc>
      </w:tr>
      <w:tr>
        <w:tc>
          <w:tcPr>
            <w:tcW w:type="dxa" w:w="648"/>
          </w:tcPr>
          <w:p>
            <w:pPr>
              <w:spacing w:after="20"/>
            </w:pPr>
            <w:r/>
            <w:r>
              <w:rPr>
                <w:b w:val="0"/>
                <w:sz w:val="16"/>
              </w:rPr>
              <w:t>N-05</w:t>
            </w:r>
          </w:p>
        </w:tc>
        <w:tc>
          <w:tcPr>
            <w:tcW w:type="dxa" w:w="2664"/>
          </w:tcPr>
          <w:p>
            <w:pPr>
              <w:spacing w:after="20"/>
            </w:pPr>
            <w:r/>
            <w:r>
              <w:rPr>
                <w:b w:val="0"/>
                <w:sz w:val="16"/>
              </w:rPr>
              <w:t>Run T-10 (clean NDA) and read every verdict</w:t>
            </w:r>
          </w:p>
        </w:tc>
        <w:tc>
          <w:tcPr>
            <w:tcW w:type="dxa" w:w="3312"/>
          </w:tcPr>
          <w:p>
            <w:pPr>
              <w:spacing w:after="20"/>
            </w:pPr>
            <w:r/>
            <w:r>
              <w:rPr>
                <w:b w:val="0"/>
                <w:sz w:val="16"/>
              </w:rPr>
              <w:t>No Critical or High finding anywhere.</w:t>
            </w:r>
          </w:p>
        </w:tc>
        <w:tc>
          <w:tcPr>
            <w:tcW w:type="dxa" w:w="3744"/>
          </w:tcPr>
          <w:p>
            <w:pPr>
              <w:spacing w:after="20"/>
            </w:pPr>
            <w:r/>
            <w:r>
              <w:rPr>
                <w:b w:val="0"/>
                <w:sz w:val="16"/>
              </w:rPr>
              <w:t>False positives on clean paper are what stop a CEO reading the flags at all.</w:t>
            </w:r>
          </w:p>
        </w:tc>
      </w:tr>
      <w:tr>
        <w:tc>
          <w:tcPr>
            <w:tcW w:type="dxa" w:w="648"/>
          </w:tcPr>
          <w:p>
            <w:pPr>
              <w:spacing w:after="20"/>
            </w:pPr>
            <w:r/>
            <w:r>
              <w:rPr>
                <w:b w:val="0"/>
                <w:sz w:val="16"/>
              </w:rPr>
              <w:t>N-06</w:t>
            </w:r>
          </w:p>
        </w:tc>
        <w:tc>
          <w:tcPr>
            <w:tcW w:type="dxa" w:w="2664"/>
          </w:tcPr>
          <w:p>
            <w:pPr>
              <w:spacing w:after="20"/>
            </w:pPr>
            <w:r/>
            <w:r>
              <w:rPr>
                <w:b w:val="0"/>
                <w:sz w:val="16"/>
              </w:rPr>
              <w:t>Remove the API key and re-run T-02</w:t>
            </w:r>
          </w:p>
        </w:tc>
        <w:tc>
          <w:tcPr>
            <w:tcW w:type="dxa" w:w="3312"/>
          </w:tcPr>
          <w:p>
            <w:pPr>
              <w:spacing w:after="20"/>
            </w:pPr>
            <w:r/>
            <w:r>
              <w:rPr>
                <w:b w:val="0"/>
                <w:sz w:val="16"/>
              </w:rPr>
              <w:t>Rule checks still run. Model checks show NOT RUN in the manifest.</w:t>
            </w:r>
          </w:p>
        </w:tc>
        <w:tc>
          <w:tcPr>
            <w:tcW w:type="dxa" w:w="3744"/>
          </w:tcPr>
          <w:p>
            <w:pPr>
              <w:spacing w:after="20"/>
            </w:pPr>
            <w:r/>
            <w:r>
              <w:rPr>
                <w:b w:val="0"/>
                <w:sz w:val="16"/>
              </w:rPr>
              <w:t>A brief that silently skips a check is more dangerous than one that admits it.</w:t>
            </w:r>
          </w:p>
        </w:tc>
      </w:tr>
      <w:tr>
        <w:tc>
          <w:tcPr>
            <w:tcW w:type="dxa" w:w="648"/>
          </w:tcPr>
          <w:p>
            <w:pPr>
              <w:spacing w:after="20"/>
            </w:pPr>
            <w:r/>
            <w:r>
              <w:rPr>
                <w:b w:val="0"/>
                <w:sz w:val="16"/>
              </w:rPr>
              <w:t>N-07</w:t>
            </w:r>
          </w:p>
        </w:tc>
        <w:tc>
          <w:tcPr>
            <w:tcW w:type="dxa" w:w="2664"/>
          </w:tcPr>
          <w:p>
            <w:pPr>
              <w:spacing w:after="20"/>
            </w:pPr>
            <w:r/>
            <w:r>
              <w:rPr>
                <w:b w:val="0"/>
                <w:sz w:val="16"/>
              </w:rPr>
              <w:t>Search the whole output for "safe to sign"</w:t>
            </w:r>
          </w:p>
        </w:tc>
        <w:tc>
          <w:tcPr>
            <w:tcW w:type="dxa" w:w="3312"/>
          </w:tcPr>
          <w:p>
            <w:pPr>
              <w:spacing w:after="20"/>
            </w:pPr>
            <w:r/>
            <w:r>
              <w:rPr>
                <w:b w:val="0"/>
                <w:sz w:val="16"/>
              </w:rPr>
              <w:t>Appears only inside the fixed disclaimer, in a negation.</w:t>
            </w:r>
          </w:p>
        </w:tc>
        <w:tc>
          <w:tcPr>
            <w:tcW w:type="dxa" w:w="3744"/>
          </w:tcPr>
          <w:p>
            <w:pPr>
              <w:spacing w:after="20"/>
            </w:pPr>
            <w:r/>
            <w:r>
              <w:rPr>
                <w:b w:val="0"/>
                <w:sz w:val="16"/>
              </w:rPr>
              <w:t>The product must never issue an approval. Covered by eval E-12.</w:t>
            </w:r>
          </w:p>
        </w:tc>
      </w:tr>
      <w:tr>
        <w:tc>
          <w:tcPr>
            <w:tcW w:type="dxa" w:w="648"/>
          </w:tcPr>
          <w:p>
            <w:pPr>
              <w:spacing w:after="20"/>
            </w:pPr>
            <w:r/>
            <w:r>
              <w:rPr>
                <w:b w:val="0"/>
                <w:sz w:val="16"/>
              </w:rPr>
              <w:t>N-08</w:t>
            </w:r>
          </w:p>
        </w:tc>
        <w:tc>
          <w:tcPr>
            <w:tcW w:type="dxa" w:w="2664"/>
          </w:tcPr>
          <w:p>
            <w:pPr>
              <w:spacing w:after="20"/>
            </w:pPr>
            <w:r/>
            <w:r>
              <w:rPr>
                <w:b w:val="0"/>
                <w:sz w:val="16"/>
              </w:rPr>
              <w:t>Switch contracts without re-running</w:t>
            </w:r>
          </w:p>
        </w:tc>
        <w:tc>
          <w:tcPr>
            <w:tcW w:type="dxa" w:w="3312"/>
          </w:tcPr>
          <w:p>
            <w:pPr>
              <w:spacing w:after="20"/>
            </w:pPr>
            <w:r/>
            <w:r>
              <w:rPr>
                <w:b w:val="0"/>
                <w:sz w:val="16"/>
              </w:rPr>
              <w:t>The previous brief clears immediately.</w:t>
            </w:r>
          </w:p>
        </w:tc>
        <w:tc>
          <w:tcPr>
            <w:tcW w:type="dxa" w:w="3744"/>
          </w:tcPr>
          <w:p>
            <w:pPr>
              <w:spacing w:after="20"/>
            </w:pPr>
            <w:r/>
            <w:r>
              <w:rPr>
                <w:b w:val="0"/>
                <w:sz w:val="16"/>
              </w:rPr>
              <w:t>A stale brief beside a newly chosen contract is how the wrong thing gets signed.</w:t>
            </w:r>
          </w:p>
        </w:tc>
      </w:tr>
    </w:tbl>
    <w:p>
      <w:pPr>
        <w:spacing w:after="120"/>
      </w:pPr>
    </w:p>
    <w:p>
      <w:pPr>
        <w:pStyle w:val="Heading1"/>
      </w:pPr>
      <w:r>
        <w:rPr>
          <w:color w:val="16213A"/>
        </w:rPr>
        <w:t>7. Known limitations and defects found</w:t>
      </w:r>
    </w:p>
    <w:p>
      <w:pPr>
        <w:spacing w:after="120"/>
      </w:pPr>
      <w:r>
        <w:rPr>
          <w:b w:val="0"/>
          <w:i w:val="0"/>
          <w:sz w:val="20"/>
        </w:rPr>
        <w:t>Disclosed deliberately. An undisclosed gap a reviewer finds discredits everything else.</w:t>
      </w:r>
    </w:p>
    <w:tbl>
      <w:tblPr>
        <w:tblStyle w:val="TableGrid"/>
        <w:tblW w:type="auto" w:w="0"/>
        <w:jc w:val="center"/>
        <w:tblLook w:firstColumn="1" w:firstRow="1" w:lastColumn="0" w:lastRow="0" w:noHBand="0" w:noVBand="1" w:val="04A0"/>
      </w:tblPr>
      <w:tblGrid>
        <w:gridCol w:w="3408"/>
        <w:gridCol w:w="3408"/>
        <w:gridCol w:w="3408"/>
      </w:tblGrid>
      <w:tr>
        <w:tc>
          <w:tcPr>
            <w:tcW w:type="dxa" w:w="648"/>
          </w:tcPr>
          <w:p>
            <w:r/>
            <w:r>
              <w:rPr>
                <w:b/>
                <w:color w:val="16213A"/>
                <w:sz w:val="16"/>
              </w:rPr>
              <w:t>ID</w:t>
            </w:r>
          </w:p>
        </w:tc>
        <w:tc>
          <w:tcPr>
            <w:tcW w:type="dxa" w:w="6480"/>
          </w:tcPr>
          <w:p>
            <w:r/>
            <w:r>
              <w:rPr>
                <w:b/>
                <w:color w:val="16213A"/>
                <w:sz w:val="16"/>
              </w:rPr>
              <w:t>Limitation or defect</w:t>
            </w:r>
          </w:p>
        </w:tc>
        <w:tc>
          <w:tcPr>
            <w:tcW w:type="dxa" w:w="3240"/>
          </w:tcPr>
          <w:p>
            <w:r/>
            <w:r>
              <w:rPr>
                <w:b/>
                <w:color w:val="16213A"/>
                <w:sz w:val="16"/>
              </w:rPr>
              <w:t>Status</w:t>
            </w:r>
          </w:p>
        </w:tc>
      </w:tr>
      <w:tr>
        <w:tc>
          <w:tcPr>
            <w:tcW w:type="dxa" w:w="648"/>
          </w:tcPr>
          <w:p>
            <w:pPr>
              <w:spacing w:after="20"/>
            </w:pPr>
            <w:r/>
            <w:r>
              <w:rPr>
                <w:b w:val="0"/>
                <w:sz w:val="16"/>
              </w:rPr>
              <w:t>L-1</w:t>
            </w:r>
          </w:p>
        </w:tc>
        <w:tc>
          <w:tcPr>
            <w:tcW w:type="dxa" w:w="6480"/>
          </w:tcPr>
          <w:p>
            <w:pPr>
              <w:spacing w:after="20"/>
            </w:pPr>
            <w:r/>
            <w:r>
              <w:rPr>
                <w:b w:val="0"/>
                <w:sz w:val="16"/>
              </w:rPr>
              <w:t>The paperwork scan reads only the document in front of it. The Kriti subcontract names Rheinwerk as end client but never says "personal data", so no flow-down requirement is raised even though AtliQ owes Rheinwerk GDPR obligations.</w:t>
            </w:r>
          </w:p>
        </w:tc>
        <w:tc>
          <w:tcPr>
            <w:tcW w:type="dxa" w:w="3240"/>
          </w:tcPr>
          <w:p>
            <w:pPr>
              <w:spacing w:after="20"/>
            </w:pPr>
            <w:r/>
            <w:r>
              <w:rPr>
                <w:b w:val="0"/>
                <w:sz w:val="16"/>
              </w:rPr>
              <w:t>OPEN — documented. v2: follow the end-client link into the register and the queue.</w:t>
            </w:r>
          </w:p>
        </w:tc>
      </w:tr>
      <w:tr>
        <w:tc>
          <w:tcPr>
            <w:tcW w:type="dxa" w:w="648"/>
          </w:tcPr>
          <w:p>
            <w:pPr>
              <w:spacing w:after="20"/>
            </w:pPr>
            <w:r/>
            <w:r>
              <w:rPr>
                <w:b w:val="0"/>
                <w:sz w:val="16"/>
              </w:rPr>
              <w:t>D-1</w:t>
            </w:r>
          </w:p>
        </w:tc>
        <w:tc>
          <w:tcPr>
            <w:tcW w:type="dxa" w:w="6480"/>
          </w:tcPr>
          <w:p>
            <w:pPr>
              <w:spacing w:after="20"/>
            </w:pPr>
            <w:r/>
            <w:r>
              <w:rPr>
                <w:b w:val="0"/>
                <w:sz w:val="16"/>
              </w:rPr>
              <w:t>A clean mutual NDA raised a service exclusivity at HIGH.</w:t>
            </w:r>
          </w:p>
        </w:tc>
        <w:tc>
          <w:tcPr>
            <w:tcW w:type="dxa" w:w="3240"/>
          </w:tcPr>
          <w:p>
            <w:pPr>
              <w:spacing w:after="20"/>
            </w:pPr>
            <w:r/>
            <w:r>
              <w:rPr>
                <w:b w:val="0"/>
                <w:sz w:val="16"/>
              </w:rPr>
              <w:t>FIXED — relevance gate. An NDA delivers no services, so a service restriction cannot be breached by signing one. Gated items move to Considered and cleared, never silently dropped.</w:t>
            </w:r>
          </w:p>
        </w:tc>
      </w:tr>
      <w:tr>
        <w:tc>
          <w:tcPr>
            <w:tcW w:type="dxa" w:w="648"/>
          </w:tcPr>
          <w:p>
            <w:pPr>
              <w:spacing w:after="20"/>
            </w:pPr>
            <w:r/>
            <w:r>
              <w:rPr>
                <w:b w:val="0"/>
                <w:sz w:val="16"/>
              </w:rPr>
              <w:t>D-2</w:t>
            </w:r>
          </w:p>
        </w:tc>
        <w:tc>
          <w:tcPr>
            <w:tcW w:type="dxa" w:w="6480"/>
          </w:tcPr>
          <w:p>
            <w:pPr>
              <w:spacing w:after="20"/>
            </w:pPr>
            <w:r/>
            <w:r>
              <w:rPr>
                <w:b w:val="0"/>
                <w:sz w:val="16"/>
              </w:rPr>
              <w:t>"ATLIQ TECHNOLOGIES PRIVATE LIMITED" read as a different company from "AtliQ Technologies Pvt Ltd", producing a false conflict on a correct contract.</w:t>
            </w:r>
          </w:p>
        </w:tc>
        <w:tc>
          <w:tcPr>
            <w:tcW w:type="dxa" w:w="3240"/>
          </w:tcPr>
          <w:p>
            <w:pPr>
              <w:spacing w:after="20"/>
            </w:pPr>
            <w:r/>
            <w:r>
              <w:rPr>
                <w:b w:val="0"/>
                <w:sz w:val="16"/>
              </w:rPr>
              <w:t>FIXED — entity alias resolver. Regression case E-13. Found by using the app; the eval suite passed 12/12 while this was live.</w:t>
            </w:r>
          </w:p>
        </w:tc>
      </w:tr>
      <w:tr>
        <w:tc>
          <w:tcPr>
            <w:tcW w:type="dxa" w:w="648"/>
          </w:tcPr>
          <w:p>
            <w:pPr>
              <w:spacing w:after="20"/>
            </w:pPr>
            <w:r/>
            <w:r>
              <w:rPr>
                <w:b w:val="0"/>
                <w:sz w:val="16"/>
              </w:rPr>
              <w:t>D-3</w:t>
            </w:r>
          </w:p>
        </w:tc>
        <w:tc>
          <w:tcPr>
            <w:tcW w:type="dxa" w:w="6480"/>
          </w:tcPr>
          <w:p>
            <w:pPr>
              <w:spacing w:after="20"/>
            </w:pPr>
            <w:r/>
            <w:r>
              <w:rPr>
                <w:b w:val="0"/>
                <w:sz w:val="16"/>
              </w:rPr>
              <w:t>Eval E-12 failed on the phrase "safe to sign" appearing inside the disclaimer's own negation.</w:t>
            </w:r>
          </w:p>
        </w:tc>
        <w:tc>
          <w:tcPr>
            <w:tcW w:type="dxa" w:w="3240"/>
          </w:tcPr>
          <w:p>
            <w:pPr>
              <w:spacing w:after="20"/>
            </w:pPr>
            <w:r/>
            <w:r>
              <w:rPr>
                <w:b w:val="0"/>
                <w:sz w:val="16"/>
              </w:rPr>
              <w:t>FIXED in the TEST, not the product. The eval now scans generated content only.</w:t>
            </w:r>
          </w:p>
        </w:tc>
      </w:tr>
      <w:tr>
        <w:tc>
          <w:tcPr>
            <w:tcW w:type="dxa" w:w="648"/>
          </w:tcPr>
          <w:p>
            <w:pPr>
              <w:spacing w:after="20"/>
            </w:pPr>
            <w:r/>
            <w:r>
              <w:rPr>
                <w:b w:val="0"/>
                <w:sz w:val="16"/>
              </w:rPr>
              <w:t>L-2</w:t>
            </w:r>
          </w:p>
        </w:tc>
        <w:tc>
          <w:tcPr>
            <w:tcW w:type="dxa" w:w="6480"/>
          </w:tcPr>
          <w:p>
            <w:pPr>
              <w:spacing w:after="20"/>
            </w:pPr>
            <w:r/>
            <w:r>
              <w:rPr>
                <w:b w:val="0"/>
                <w:sz w:val="16"/>
              </w:rPr>
              <w:t>Six counterparties in the tracker have no contract file, so any commitment inside them is invisible to the register.</w:t>
            </w:r>
          </w:p>
        </w:tc>
        <w:tc>
          <w:tcPr>
            <w:tcW w:type="dxa" w:w="3240"/>
          </w:tcPr>
          <w:p>
            <w:pPr>
              <w:spacing w:after="20"/>
            </w:pPr>
            <w:r/>
            <w:r>
              <w:rPr>
                <w:b w:val="0"/>
                <w:sz w:val="16"/>
              </w:rPr>
              <w:t>OPEN — data gap, owned by AtliQ.</w:t>
            </w:r>
          </w:p>
        </w:tc>
      </w:tr>
      <w:tr>
        <w:tc>
          <w:tcPr>
            <w:tcW w:type="dxa" w:w="648"/>
          </w:tcPr>
          <w:p>
            <w:pPr>
              <w:spacing w:after="20"/>
            </w:pPr>
            <w:r/>
            <w:r>
              <w:rPr>
                <w:b w:val="0"/>
                <w:sz w:val="16"/>
              </w:rPr>
              <w:t>L-3</w:t>
            </w:r>
          </w:p>
        </w:tc>
        <w:tc>
          <w:tcPr>
            <w:tcW w:type="dxa" w:w="6480"/>
          </w:tcPr>
          <w:p>
            <w:pPr>
              <w:spacing w:after="20"/>
            </w:pPr>
            <w:r/>
            <w:r>
              <w:rPr>
                <w:b w:val="0"/>
                <w:sz w:val="16"/>
              </w:rPr>
              <w:t>English only. Gulf Crown contains an Arabic-prevails clause.</w:t>
            </w:r>
          </w:p>
        </w:tc>
        <w:tc>
          <w:tcPr>
            <w:tcW w:type="dxa" w:w="3240"/>
          </w:tcPr>
          <w:p>
            <w:pPr>
              <w:spacing w:after="20"/>
            </w:pPr>
            <w:r/>
            <w:r>
              <w:rPr>
                <w:b w:val="0"/>
                <w:sz w:val="16"/>
              </w:rPr>
              <w:t>OPEN — out of MVP scope.</w:t>
            </w:r>
          </w:p>
        </w:tc>
      </w:tr>
      <w:tr>
        <w:tc>
          <w:tcPr>
            <w:tcW w:type="dxa" w:w="648"/>
          </w:tcPr>
          <w:p>
            <w:pPr>
              <w:spacing w:after="20"/>
            </w:pPr>
            <w:r/>
            <w:r>
              <w:rPr>
                <w:b w:val="0"/>
                <w:sz w:val="16"/>
              </w:rPr>
              <w:t>L-4</w:t>
            </w:r>
          </w:p>
        </w:tc>
        <w:tc>
          <w:tcPr>
            <w:tcW w:type="dxa" w:w="6480"/>
          </w:tcPr>
          <w:p>
            <w:pPr>
              <w:spacing w:after="20"/>
            </w:pPr>
            <w:r/>
            <w:r>
              <w:rPr>
                <w:b w:val="0"/>
                <w:sz w:val="16"/>
              </w:rPr>
              <w:t>The model path has been exercised on a developer machine only. No load testing, and no real user has used it.</w:t>
            </w:r>
          </w:p>
        </w:tc>
        <w:tc>
          <w:tcPr>
            <w:tcW w:type="dxa" w:w="3240"/>
          </w:tcPr>
          <w:p>
            <w:pPr>
              <w:spacing w:after="20"/>
            </w:pPr>
            <w:r/>
            <w:r>
              <w:rPr>
                <w:b w:val="0"/>
                <w:sz w:val="16"/>
              </w:rPr>
              <w:t>OPEN — disclosed.</w:t>
            </w:r>
          </w:p>
        </w:tc>
      </w:tr>
    </w:tbl>
    <w:p>
      <w:pPr>
        <w:spacing w:after="120"/>
      </w:pPr>
    </w:p>
    <w:p>
      <w:pPr>
        <w:pStyle w:val="Heading1"/>
      </w:pPr>
      <w:r>
        <w:rPr>
          <w:color w:val="16213A"/>
        </w:rPr>
        <w:t>8. Automated regression suite</w:t>
      </w:r>
    </w:p>
    <w:p>
      <w:pPr>
        <w:spacing w:after="120"/>
      </w:pPr>
      <w:r>
        <w:rPr>
          <w:b/>
          <w:i w:val="0"/>
          <w:sz w:val="20"/>
        </w:rPr>
        <w:t>python evals/run_evals.py  —  13 cases, 6 launch blockers, no API key needed.</w:t>
      </w:r>
    </w:p>
    <w:p>
      <w:pPr>
        <w:spacing w:after="120"/>
      </w:pPr>
      <w:r>
        <w:rPr>
          <w:b w:val="0"/>
          <w:i w:val="0"/>
          <w:sz w:val="20"/>
        </w:rPr>
        <w:t>Eval criteria decide whether the system is fit to launch. Success metrics measure business outcomes after launch. These are the former. A single blocker failure means it does not ship, however well the rest score.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tcPr>
          <w:p>
            <w:r/>
            <w:r>
              <w:rPr>
                <w:b/>
                <w:color w:val="16213A"/>
                <w:sz w:val="17"/>
              </w:rPr>
              <w:t>Case</w:t>
            </w:r>
          </w:p>
        </w:tc>
        <w:tc>
          <w:tcPr>
            <w:tcW w:type="dxa" w:w="4896"/>
          </w:tcPr>
          <w:p>
            <w:r/>
            <w:r>
              <w:rPr>
                <w:b/>
                <w:color w:val="16213A"/>
                <w:sz w:val="17"/>
              </w:rPr>
              <w:t>Dimension</w:t>
            </w:r>
          </w:p>
        </w:tc>
        <w:tc>
          <w:tcPr>
            <w:tcW w:type="dxa" w:w="1008"/>
          </w:tcPr>
          <w:p>
            <w:r/>
            <w:r>
              <w:rPr>
                <w:b/>
                <w:color w:val="16213A"/>
                <w:sz w:val="17"/>
              </w:rPr>
              <w:t>Blocker</w:t>
            </w:r>
          </w:p>
        </w:tc>
        <w:tc>
          <w:tcPr>
            <w:tcW w:type="dxa" w:w="3600"/>
          </w:tcPr>
          <w:p>
            <w:r/>
            <w:r>
              <w:rPr>
                <w:b/>
                <w:color w:val="16213A"/>
                <w:sz w:val="17"/>
              </w:rPr>
              <w:t>Maps to manual test</w:t>
            </w:r>
          </w:p>
        </w:tc>
      </w:tr>
      <w:tr>
        <w:tc>
          <w:tcPr>
            <w:tcW w:type="dxa" w:w="864"/>
          </w:tcPr>
          <w:p>
            <w:pPr>
              <w:spacing w:after="20"/>
            </w:pPr>
            <w:r/>
            <w:r>
              <w:rPr>
                <w:b w:val="0"/>
                <w:sz w:val="17"/>
              </w:rPr>
              <w:t>E-01</w:t>
            </w:r>
          </w:p>
        </w:tc>
        <w:tc>
          <w:tcPr>
            <w:tcW w:type="dxa" w:w="4896"/>
          </w:tcPr>
          <w:p>
            <w:pPr>
              <w:spacing w:after="20"/>
            </w:pPr>
            <w:r/>
            <w:r>
              <w:rPr>
                <w:b w:val="0"/>
                <w:sz w:val="17"/>
              </w:rPr>
              <w:t>Collision recall — Gulf Crown finds Al Noor</w:t>
            </w:r>
          </w:p>
        </w:tc>
        <w:tc>
          <w:tcPr>
            <w:tcW w:type="dxa" w:w="1008"/>
          </w:tcPr>
          <w:p>
            <w:pPr>
              <w:spacing w:after="20"/>
            </w:pPr>
            <w:r/>
            <w:r>
              <w:rPr>
                <w:b w:val="0"/>
                <w:sz w:val="17"/>
              </w:rPr>
              <w:t>YES</w:t>
            </w:r>
          </w:p>
        </w:tc>
        <w:tc>
          <w:tcPr>
            <w:tcW w:type="dxa" w:w="3600"/>
          </w:tcPr>
          <w:p>
            <w:pPr>
              <w:spacing w:after="20"/>
            </w:pPr>
            <w:r/>
            <w:r>
              <w:rPr>
                <w:b w:val="0"/>
                <w:sz w:val="17"/>
              </w:rPr>
              <w:t>T-02</w:t>
            </w:r>
          </w:p>
        </w:tc>
      </w:tr>
      <w:tr>
        <w:tc>
          <w:tcPr>
            <w:tcW w:type="dxa" w:w="864"/>
          </w:tcPr>
          <w:p>
            <w:pPr>
              <w:spacing w:after="20"/>
            </w:pPr>
            <w:r/>
            <w:r>
              <w:rPr>
                <w:b w:val="0"/>
                <w:sz w:val="17"/>
              </w:rPr>
              <w:t>E-02</w:t>
            </w:r>
          </w:p>
        </w:tc>
        <w:tc>
          <w:tcPr>
            <w:tcW w:type="dxa" w:w="4896"/>
          </w:tcPr>
          <w:p>
            <w:pPr>
              <w:spacing w:after="20"/>
            </w:pPr>
            <w:r/>
            <w:r>
              <w:rPr>
                <w:b w:val="0"/>
                <w:sz w:val="17"/>
              </w:rPr>
              <w:t>Waiver scope — the Seaside waiver must not clear Gulf Crown</w:t>
            </w:r>
          </w:p>
        </w:tc>
        <w:tc>
          <w:tcPr>
            <w:tcW w:type="dxa" w:w="1008"/>
          </w:tcPr>
          <w:p>
            <w:pPr>
              <w:spacing w:after="20"/>
            </w:pPr>
            <w:r/>
            <w:r>
              <w:rPr>
                <w:b w:val="0"/>
                <w:sz w:val="17"/>
              </w:rPr>
              <w:t>YES</w:t>
            </w:r>
          </w:p>
        </w:tc>
        <w:tc>
          <w:tcPr>
            <w:tcW w:type="dxa" w:w="3600"/>
          </w:tcPr>
          <w:p>
            <w:pPr>
              <w:spacing w:after="20"/>
            </w:pPr>
            <w:r/>
            <w:r>
              <w:rPr>
                <w:b w:val="0"/>
                <w:sz w:val="17"/>
              </w:rPr>
              <w:t>T-02</w:t>
            </w:r>
          </w:p>
        </w:tc>
      </w:tr>
      <w:tr>
        <w:tc>
          <w:tcPr>
            <w:tcW w:type="dxa" w:w="864"/>
          </w:tcPr>
          <w:p>
            <w:pPr>
              <w:spacing w:after="20"/>
            </w:pPr>
            <w:r/>
            <w:r>
              <w:rPr>
                <w:b w:val="0"/>
                <w:sz w:val="17"/>
              </w:rPr>
              <w:t>E-03</w:t>
            </w:r>
          </w:p>
        </w:tc>
        <w:tc>
          <w:tcPr>
            <w:tcW w:type="dxa" w:w="4896"/>
          </w:tcPr>
          <w:p>
            <w:pPr>
              <w:spacing w:after="20"/>
            </w:pPr>
            <w:r/>
            <w:r>
              <w:rPr>
                <w:b w:val="0"/>
                <w:sz w:val="17"/>
              </w:rPr>
              <w:t>Lapsed shown, not raised — Orbit</w:t>
            </w:r>
          </w:p>
        </w:tc>
        <w:tc>
          <w:tcPr>
            <w:tcW w:type="dxa" w:w="1008"/>
          </w:tcPr>
          <w:p>
            <w:pPr>
              <w:spacing w:after="20"/>
            </w:pPr>
            <w:r/>
            <w:r>
              <w:rPr>
                <w:b w:val="0"/>
                <w:sz w:val="17"/>
              </w:rPr>
              <w:t>no</w:t>
            </w:r>
          </w:p>
        </w:tc>
        <w:tc>
          <w:tcPr>
            <w:tcW w:type="dxa" w:w="3600"/>
          </w:tcPr>
          <w:p>
            <w:pPr>
              <w:spacing w:after="20"/>
            </w:pPr>
            <w:r/>
            <w:r>
              <w:rPr>
                <w:b w:val="0"/>
                <w:sz w:val="17"/>
              </w:rPr>
              <w:t>T-04</w:t>
            </w:r>
          </w:p>
        </w:tc>
      </w:tr>
      <w:tr>
        <w:tc>
          <w:tcPr>
            <w:tcW w:type="dxa" w:w="864"/>
          </w:tcPr>
          <w:p>
            <w:pPr>
              <w:spacing w:after="20"/>
            </w:pPr>
            <w:r/>
            <w:r>
              <w:rPr>
                <w:b w:val="0"/>
                <w:sz w:val="17"/>
              </w:rPr>
              <w:t>E-04</w:t>
            </w:r>
          </w:p>
        </w:tc>
        <w:tc>
          <w:tcPr>
            <w:tcW w:type="dxa" w:w="4896"/>
          </w:tcPr>
          <w:p>
            <w:pPr>
              <w:spacing w:after="20"/>
            </w:pPr>
            <w:r/>
            <w:r>
              <w:rPr>
                <w:b w:val="0"/>
                <w:sz w:val="17"/>
              </w:rPr>
              <w:t>Liveness — still live after the contract ends</w:t>
            </w:r>
          </w:p>
        </w:tc>
        <w:tc>
          <w:tcPr>
            <w:tcW w:type="dxa" w:w="1008"/>
          </w:tcPr>
          <w:p>
            <w:pPr>
              <w:spacing w:after="20"/>
            </w:pPr>
            <w:r/>
            <w:r>
              <w:rPr>
                <w:b w:val="0"/>
                <w:sz w:val="17"/>
              </w:rPr>
              <w:t>YES</w:t>
            </w:r>
          </w:p>
        </w:tc>
        <w:tc>
          <w:tcPr>
            <w:tcW w:type="dxa" w:w="3600"/>
          </w:tcPr>
          <w:p>
            <w:pPr>
              <w:spacing w:after="20"/>
            </w:pPr>
            <w:r/>
            <w:r>
              <w:rPr>
                <w:b w:val="0"/>
                <w:sz w:val="17"/>
              </w:rPr>
              <w:t>N-04</w:t>
            </w:r>
          </w:p>
        </w:tc>
      </w:tr>
      <w:tr>
        <w:tc>
          <w:tcPr>
            <w:tcW w:type="dxa" w:w="864"/>
          </w:tcPr>
          <w:p>
            <w:pPr>
              <w:spacing w:after="20"/>
            </w:pPr>
            <w:r/>
            <w:r>
              <w:rPr>
                <w:b w:val="0"/>
                <w:sz w:val="17"/>
              </w:rPr>
              <w:t>E-05</w:t>
            </w:r>
          </w:p>
        </w:tc>
        <w:tc>
          <w:tcPr>
            <w:tcW w:type="dxa" w:w="4896"/>
          </w:tcPr>
          <w:p>
            <w:pPr>
              <w:spacing w:after="20"/>
            </w:pPr>
            <w:r/>
            <w:r>
              <w:rPr>
                <w:b w:val="0"/>
                <w:sz w:val="17"/>
              </w:rPr>
              <w:t>Liveness — lapsed once the tail runs out</w:t>
            </w:r>
          </w:p>
        </w:tc>
        <w:tc>
          <w:tcPr>
            <w:tcW w:type="dxa" w:w="1008"/>
          </w:tcPr>
          <w:p>
            <w:pPr>
              <w:spacing w:after="20"/>
            </w:pPr>
            <w:r/>
            <w:r>
              <w:rPr>
                <w:b w:val="0"/>
                <w:sz w:val="17"/>
              </w:rPr>
              <w:t>YES</w:t>
            </w:r>
          </w:p>
        </w:tc>
        <w:tc>
          <w:tcPr>
            <w:tcW w:type="dxa" w:w="3600"/>
          </w:tcPr>
          <w:p>
            <w:pPr>
              <w:spacing w:after="20"/>
            </w:pPr>
            <w:r/>
            <w:r>
              <w:rPr>
                <w:b w:val="0"/>
                <w:sz w:val="17"/>
              </w:rPr>
              <w:t>N-03</w:t>
            </w:r>
          </w:p>
        </w:tc>
      </w:tr>
      <w:tr>
        <w:tc>
          <w:tcPr>
            <w:tcW w:type="dxa" w:w="864"/>
          </w:tcPr>
          <w:p>
            <w:pPr>
              <w:spacing w:after="20"/>
            </w:pPr>
            <w:r/>
            <w:r>
              <w:rPr>
                <w:b w:val="0"/>
                <w:sz w:val="17"/>
              </w:rPr>
              <w:t>E-06</w:t>
            </w:r>
          </w:p>
        </w:tc>
        <w:tc>
          <w:tcPr>
            <w:tcW w:type="dxa" w:w="4896"/>
          </w:tcPr>
          <w:p>
            <w:pPr>
              <w:spacing w:after="20"/>
            </w:pPr>
            <w:r/>
            <w:r>
              <w:rPr>
                <w:b w:val="0"/>
                <w:sz w:val="17"/>
              </w:rPr>
              <w:t>Entity and governing law — TravelHub</w:t>
            </w:r>
          </w:p>
        </w:tc>
        <w:tc>
          <w:tcPr>
            <w:tcW w:type="dxa" w:w="1008"/>
          </w:tcPr>
          <w:p>
            <w:pPr>
              <w:spacing w:after="20"/>
            </w:pPr>
            <w:r/>
            <w:r>
              <w:rPr>
                <w:b w:val="0"/>
                <w:sz w:val="17"/>
              </w:rPr>
              <w:t>no</w:t>
            </w:r>
          </w:p>
        </w:tc>
        <w:tc>
          <w:tcPr>
            <w:tcW w:type="dxa" w:w="3600"/>
          </w:tcPr>
          <w:p>
            <w:pPr>
              <w:spacing w:after="20"/>
            </w:pPr>
            <w:r/>
            <w:r>
              <w:rPr>
                <w:b w:val="0"/>
                <w:sz w:val="17"/>
              </w:rPr>
              <w:t>T-04</w:t>
            </w:r>
          </w:p>
        </w:tc>
      </w:tr>
      <w:tr>
        <w:tc>
          <w:tcPr>
            <w:tcW w:type="dxa" w:w="864"/>
          </w:tcPr>
          <w:p>
            <w:pPr>
              <w:spacing w:after="20"/>
            </w:pPr>
            <w:r/>
            <w:r>
              <w:rPr>
                <w:b w:val="0"/>
                <w:sz w:val="17"/>
              </w:rPr>
              <w:t>E-07</w:t>
            </w:r>
          </w:p>
        </w:tc>
        <w:tc>
          <w:tcPr>
            <w:tcW w:type="dxa" w:w="4896"/>
          </w:tcPr>
          <w:p>
            <w:pPr>
              <w:spacing w:after="20"/>
            </w:pPr>
            <w:r/>
            <w:r>
              <w:rPr>
                <w:b w:val="0"/>
                <w:sz w:val="17"/>
              </w:rPr>
              <w:t>Proportionality — the client's bad-faith example</w:t>
            </w:r>
          </w:p>
        </w:tc>
        <w:tc>
          <w:tcPr>
            <w:tcW w:type="dxa" w:w="1008"/>
          </w:tcPr>
          <w:p>
            <w:pPr>
              <w:spacing w:after="20"/>
            </w:pPr>
            <w:r/>
            <w:r>
              <w:rPr>
                <w:b w:val="0"/>
                <w:sz w:val="17"/>
              </w:rPr>
              <w:t>no</w:t>
            </w:r>
          </w:p>
        </w:tc>
        <w:tc>
          <w:tcPr>
            <w:tcW w:type="dxa" w:w="3600"/>
          </w:tcPr>
          <w:p>
            <w:pPr>
              <w:spacing w:after="20"/>
            </w:pPr>
            <w:r/>
            <w:r>
              <w:rPr>
                <w:b w:val="0"/>
                <w:sz w:val="17"/>
              </w:rPr>
              <w:t>T-08</w:t>
            </w:r>
          </w:p>
        </w:tc>
      </w:tr>
      <w:tr>
        <w:tc>
          <w:tcPr>
            <w:tcW w:type="dxa" w:w="864"/>
          </w:tcPr>
          <w:p>
            <w:pPr>
              <w:spacing w:after="20"/>
            </w:pPr>
            <w:r/>
            <w:r>
              <w:rPr>
                <w:b w:val="0"/>
                <w:sz w:val="17"/>
              </w:rPr>
              <w:t>E-08</w:t>
            </w:r>
          </w:p>
        </w:tc>
        <w:tc>
          <w:tcPr>
            <w:tcW w:type="dxa" w:w="4896"/>
          </w:tcPr>
          <w:p>
            <w:pPr>
              <w:spacing w:after="20"/>
            </w:pPr>
            <w:r/>
            <w:r>
              <w:rPr>
                <w:b w:val="0"/>
                <w:sz w:val="17"/>
              </w:rPr>
              <w:t>Proportionality — 1x fees must not be flagged</w:t>
            </w:r>
          </w:p>
        </w:tc>
        <w:tc>
          <w:tcPr>
            <w:tcW w:type="dxa" w:w="1008"/>
          </w:tcPr>
          <w:p>
            <w:pPr>
              <w:spacing w:after="20"/>
            </w:pPr>
            <w:r/>
            <w:r>
              <w:rPr>
                <w:b w:val="0"/>
                <w:sz w:val="17"/>
              </w:rPr>
              <w:t>no</w:t>
            </w:r>
          </w:p>
        </w:tc>
        <w:tc>
          <w:tcPr>
            <w:tcW w:type="dxa" w:w="3600"/>
          </w:tcPr>
          <w:p>
            <w:pPr>
              <w:spacing w:after="20"/>
            </w:pPr>
            <w:r/>
            <w:r>
              <w:rPr>
                <w:b w:val="0"/>
                <w:sz w:val="17"/>
              </w:rPr>
              <w:t>T-02</w:t>
            </w:r>
          </w:p>
        </w:tc>
      </w:tr>
      <w:tr>
        <w:tc>
          <w:tcPr>
            <w:tcW w:type="dxa" w:w="864"/>
          </w:tcPr>
          <w:p>
            <w:pPr>
              <w:spacing w:after="20"/>
            </w:pPr>
            <w:r/>
            <w:r>
              <w:rPr>
                <w:b w:val="0"/>
                <w:sz w:val="17"/>
              </w:rPr>
              <w:t>E-09</w:t>
            </w:r>
          </w:p>
        </w:tc>
        <w:tc>
          <w:tcPr>
            <w:tcW w:type="dxa" w:w="4896"/>
          </w:tcPr>
          <w:p>
            <w:pPr>
              <w:spacing w:after="20"/>
            </w:pPr>
            <w:r/>
            <w:r>
              <w:rPr>
                <w:b w:val="0"/>
                <w:sz w:val="17"/>
              </w:rPr>
              <w:t>Bundle completeness — Harrington without a BAA</w:t>
            </w:r>
          </w:p>
        </w:tc>
        <w:tc>
          <w:tcPr>
            <w:tcW w:type="dxa" w:w="1008"/>
          </w:tcPr>
          <w:p>
            <w:pPr>
              <w:spacing w:after="20"/>
            </w:pPr>
            <w:r/>
            <w:r>
              <w:rPr>
                <w:b w:val="0"/>
                <w:sz w:val="17"/>
              </w:rPr>
              <w:t>no</w:t>
            </w:r>
          </w:p>
        </w:tc>
        <w:tc>
          <w:tcPr>
            <w:tcW w:type="dxa" w:w="3600"/>
          </w:tcPr>
          <w:p>
            <w:pPr>
              <w:spacing w:after="20"/>
            </w:pPr>
            <w:r/>
            <w:r>
              <w:rPr>
                <w:b w:val="0"/>
                <w:sz w:val="17"/>
              </w:rPr>
              <w:t>T-01</w:t>
            </w:r>
          </w:p>
        </w:tc>
      </w:tr>
      <w:tr>
        <w:tc>
          <w:tcPr>
            <w:tcW w:type="dxa" w:w="864"/>
          </w:tcPr>
          <w:p>
            <w:pPr>
              <w:spacing w:after="20"/>
            </w:pPr>
            <w:r/>
            <w:r>
              <w:rPr>
                <w:b w:val="0"/>
                <w:sz w:val="17"/>
              </w:rPr>
              <w:t>E-10</w:t>
            </w:r>
          </w:p>
        </w:tc>
        <w:tc>
          <w:tcPr>
            <w:tcW w:type="dxa" w:w="4896"/>
          </w:tcPr>
          <w:p>
            <w:pPr>
              <w:spacing w:after="20"/>
            </w:pPr>
            <w:r/>
            <w:r>
              <w:rPr>
                <w:b w:val="0"/>
                <w:sz w:val="17"/>
              </w:rPr>
              <w:t>False positives on a clean NDA</w:t>
            </w:r>
          </w:p>
        </w:tc>
        <w:tc>
          <w:tcPr>
            <w:tcW w:type="dxa" w:w="1008"/>
          </w:tcPr>
          <w:p>
            <w:pPr>
              <w:spacing w:after="20"/>
            </w:pPr>
            <w:r/>
            <w:r>
              <w:rPr>
                <w:b w:val="0"/>
                <w:sz w:val="17"/>
              </w:rPr>
              <w:t>no</w:t>
            </w:r>
          </w:p>
        </w:tc>
        <w:tc>
          <w:tcPr>
            <w:tcW w:type="dxa" w:w="3600"/>
          </w:tcPr>
          <w:p>
            <w:pPr>
              <w:spacing w:after="20"/>
            </w:pPr>
            <w:r/>
            <w:r>
              <w:rPr>
                <w:b w:val="0"/>
                <w:sz w:val="17"/>
              </w:rPr>
              <w:t>N-05, T-10</w:t>
            </w:r>
          </w:p>
        </w:tc>
      </w:tr>
      <w:tr>
        <w:tc>
          <w:tcPr>
            <w:tcW w:type="dxa" w:w="864"/>
          </w:tcPr>
          <w:p>
            <w:pPr>
              <w:spacing w:after="20"/>
            </w:pPr>
            <w:r/>
            <w:r>
              <w:rPr>
                <w:b w:val="0"/>
                <w:sz w:val="17"/>
              </w:rPr>
              <w:t>E-11</w:t>
            </w:r>
          </w:p>
        </w:tc>
        <w:tc>
          <w:tcPr>
            <w:tcW w:type="dxa" w:w="4896"/>
          </w:tcPr>
          <w:p>
            <w:pPr>
              <w:spacing w:after="20"/>
            </w:pPr>
            <w:r/>
            <w:r>
              <w:rPr>
                <w:b w:val="0"/>
                <w:sz w:val="17"/>
              </w:rPr>
              <w:t>Citation integrity — every quote verifies</w:t>
            </w:r>
          </w:p>
        </w:tc>
        <w:tc>
          <w:tcPr>
            <w:tcW w:type="dxa" w:w="1008"/>
          </w:tcPr>
          <w:p>
            <w:pPr>
              <w:spacing w:after="20"/>
            </w:pPr>
            <w:r/>
            <w:r>
              <w:rPr>
                <w:b w:val="0"/>
                <w:sz w:val="17"/>
              </w:rPr>
              <w:t>YES</w:t>
            </w:r>
          </w:p>
        </w:tc>
        <w:tc>
          <w:tcPr>
            <w:tcW w:type="dxa" w:w="3600"/>
          </w:tcPr>
          <w:p>
            <w:pPr>
              <w:spacing w:after="20"/>
            </w:pPr>
            <w:r/>
            <w:r>
              <w:rPr>
                <w:b w:val="0"/>
                <w:sz w:val="17"/>
              </w:rPr>
              <w:t>all</w:t>
            </w:r>
          </w:p>
        </w:tc>
      </w:tr>
      <w:tr>
        <w:tc>
          <w:tcPr>
            <w:tcW w:type="dxa" w:w="864"/>
          </w:tcPr>
          <w:p>
            <w:pPr>
              <w:spacing w:after="20"/>
            </w:pPr>
            <w:r/>
            <w:r>
              <w:rPr>
                <w:b w:val="0"/>
                <w:sz w:val="17"/>
              </w:rPr>
              <w:t>E-12</w:t>
            </w:r>
          </w:p>
        </w:tc>
        <w:tc>
          <w:tcPr>
            <w:tcW w:type="dxa" w:w="4896"/>
          </w:tcPr>
          <w:p>
            <w:pPr>
              <w:spacing w:after="20"/>
            </w:pPr>
            <w:r/>
            <w:r>
              <w:rPr>
                <w:b w:val="0"/>
                <w:sz w:val="17"/>
              </w:rPr>
              <w:t>Refusal — never says safe to sign</w:t>
            </w:r>
          </w:p>
        </w:tc>
        <w:tc>
          <w:tcPr>
            <w:tcW w:type="dxa" w:w="1008"/>
          </w:tcPr>
          <w:p>
            <w:pPr>
              <w:spacing w:after="20"/>
            </w:pPr>
            <w:r/>
            <w:r>
              <w:rPr>
                <w:b w:val="0"/>
                <w:sz w:val="17"/>
              </w:rPr>
              <w:t>YES</w:t>
            </w:r>
          </w:p>
        </w:tc>
        <w:tc>
          <w:tcPr>
            <w:tcW w:type="dxa" w:w="3600"/>
          </w:tcPr>
          <w:p>
            <w:pPr>
              <w:spacing w:after="20"/>
            </w:pPr>
            <w:r/>
            <w:r>
              <w:rPr>
                <w:b w:val="0"/>
                <w:sz w:val="17"/>
              </w:rPr>
              <w:t>N-07</w:t>
            </w:r>
          </w:p>
        </w:tc>
      </w:tr>
      <w:tr>
        <w:tc>
          <w:tcPr>
            <w:tcW w:type="dxa" w:w="864"/>
          </w:tcPr>
          <w:p>
            <w:pPr>
              <w:spacing w:after="20"/>
            </w:pPr>
            <w:r/>
            <w:r>
              <w:rPr>
                <w:b w:val="0"/>
                <w:sz w:val="17"/>
              </w:rPr>
              <w:t>E-13</w:t>
            </w:r>
          </w:p>
        </w:tc>
        <w:tc>
          <w:tcPr>
            <w:tcW w:type="dxa" w:w="4896"/>
          </w:tcPr>
          <w:p>
            <w:pPr>
              <w:spacing w:after="20"/>
            </w:pPr>
            <w:r/>
            <w:r>
              <w:rPr>
                <w:b w:val="0"/>
                <w:sz w:val="17"/>
              </w:rPr>
              <w:t>Entity legal-name variants resolve correctly</w:t>
            </w:r>
          </w:p>
        </w:tc>
        <w:tc>
          <w:tcPr>
            <w:tcW w:type="dxa" w:w="1008"/>
          </w:tcPr>
          <w:p>
            <w:pPr>
              <w:spacing w:after="20"/>
            </w:pPr>
            <w:r/>
            <w:r>
              <w:rPr>
                <w:b w:val="0"/>
                <w:sz w:val="17"/>
              </w:rPr>
              <w:t>no</w:t>
            </w:r>
          </w:p>
        </w:tc>
        <w:tc>
          <w:tcPr>
            <w:tcW w:type="dxa" w:w="3600"/>
          </w:tcPr>
          <w:p>
            <w:pPr>
              <w:spacing w:after="20"/>
            </w:pPr>
            <w:r/>
            <w:r>
              <w:rPr>
                <w:b w:val="0"/>
                <w:sz w:val="17"/>
              </w:rPr>
              <w:t>regression for D-2</w:t>
            </w:r>
          </w:p>
        </w:tc>
      </w:tr>
    </w:tbl>
    <w:p>
      <w:pPr>
        <w:spacing w:after="120"/>
      </w:pPr>
    </w:p>
    <w:p>
      <w:pPr>
        <w:pStyle w:val="Heading1"/>
      </w:pPr>
      <w:r>
        <w:rPr>
          <w:color w:val="16213A"/>
        </w:rPr>
        <w:t>9. Suggested order for a first run</w:t>
      </w:r>
    </w:p>
    <w:p>
      <w:pPr>
        <w:spacing w:after="120"/>
      </w:pPr>
      <w:r>
        <w:rPr>
          <w:b w:val="0"/>
          <w:i w:val="0"/>
          <w:sz w:val="20"/>
        </w:rPr>
        <w:t>Forty minutes, in this order, and the product will make sense.</w:t>
      </w:r>
    </w:p>
    <w:p>
      <w:pPr>
        <w:pStyle w:val="ListBullet"/>
        <w:spacing w:after="40"/>
      </w:pPr>
      <w:r>
        <w:rPr>
          <w:b/>
          <w:sz w:val="20"/>
        </w:rPr>
        <w:t>T-10 LoopMart first.</w:t>
      </w:r>
      <w:r>
        <w:rPr>
          <w:b w:val="0"/>
          <w:sz w:val="20"/>
        </w:rPr>
        <w:t xml:space="preserve"> The clean case. Three green lines. Learn the screen shape with nothing going wrong.</w:t>
      </w:r>
    </w:p>
    <w:p>
      <w:pPr>
        <w:pStyle w:val="ListBullet"/>
        <w:spacing w:after="40"/>
      </w:pPr>
      <w:r>
        <w:rPr>
          <w:b/>
          <w:sz w:val="20"/>
        </w:rPr>
        <w:t>T-02 Gulf Crown second.</w:t>
      </w:r>
      <w:r>
        <w:rPr>
          <w:b w:val="0"/>
          <w:sz w:val="20"/>
        </w:rPr>
        <w:t xml:space="preserve"> The headline. A clean-looking $140,000 contract that would have been a breach. Open the first finding and read the quoted clause, the two dates, and the red waiver box.</w:t>
      </w:r>
    </w:p>
    <w:p>
      <w:pPr>
        <w:pStyle w:val="ListBullet"/>
        <w:spacing w:after="40"/>
      </w:pPr>
      <w:r>
        <w:rPr>
          <w:b/>
          <w:sz w:val="20"/>
        </w:rPr>
        <w:t>N-03 and N-04 next.</w:t>
      </w:r>
      <w:r>
        <w:rPr>
          <w:b w:val="0"/>
          <w:sz w:val="20"/>
        </w:rPr>
        <w:t xml:space="preserve"> Move the date to 2029-10-01, re-run, watch Al Noor move to cleared. Then 2028-06-01 and watch it come back. This is the single best way to understand the tail.</w:t>
      </w:r>
    </w:p>
    <w:p>
      <w:pPr>
        <w:pStyle w:val="ListBullet"/>
        <w:spacing w:after="40"/>
      </w:pPr>
      <w:r>
        <w:rPr>
          <w:b/>
          <w:sz w:val="20"/>
        </w:rPr>
        <w:t>T-01 Harrington fourth.</w:t>
      </w:r>
      <w:r>
        <w:rPr>
          <w:b w:val="0"/>
          <w:sz w:val="20"/>
        </w:rPr>
        <w:t xml:space="preserve"> The paperwork flow. Attach the NDA (green), then the BAA (amber, unsigned). This is the moment to build the demo video around.</w:t>
      </w:r>
    </w:p>
    <w:p>
      <w:pPr>
        <w:pStyle w:val="ListBullet"/>
        <w:spacing w:after="40"/>
      </w:pPr>
      <w:r>
        <w:rPr>
          <w:b/>
          <w:sz w:val="20"/>
        </w:rPr>
        <w:t>N-01 fifth.</w:t>
      </w:r>
      <w:r>
        <w:rPr>
          <w:b w:val="0"/>
          <w:sz w:val="20"/>
        </w:rPr>
        <w:t xml:space="preserve"> Put the NDA in the BAA row deliberately and watch it get rejected.</w:t>
      </w:r>
    </w:p>
    <w:p>
      <w:pPr>
        <w:pStyle w:val="ListBullet"/>
        <w:spacing w:after="40"/>
      </w:pPr>
      <w:r>
        <w:rPr>
          <w:b/>
          <w:sz w:val="20"/>
        </w:rPr>
        <w:t>T-04 TravelHub last.</w:t>
      </w:r>
      <w:r>
        <w:rPr>
          <w:b w:val="0"/>
          <w:sz w:val="20"/>
        </w:rPr>
        <w:t xml:space="preserve"> The deterministic entity check, plus Orbit sitting in Considered and cleared, having lapsed in June 2025.</w:t>
      </w:r>
    </w:p>
    <w:p>
      <w:pPr>
        <w:spacing w:after="120"/>
      </w:pPr>
      <w:r>
        <w:rPr>
          <w:b w:val="0"/>
          <w:i/>
          <w:sz w:val="20"/>
        </w:rPr>
        <w:t>If you can narrate those six, you can answer anything in the viva about how the product works.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