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6"/>
          </w:tcPr>
          <w:p>
            <w:r>
              <w:drawing>
                <wp:inline xmlns:a="http://schemas.openxmlformats.org/drawingml/2006/main" xmlns:pic="http://schemas.openxmlformats.org/drawingml/2006/picture">
                  <wp:extent cx="2257135" cy="558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ine_2026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57135" cy="55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706"/>
          </w:tcPr>
          <w:p>
            <w:pPr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2917344" cy="1080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hackea_la_participacion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17344" cy="10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/>
    <w:p>
      <w:pPr>
        <w:spacing w:after="100"/>
        <w:jc w:val="left"/>
      </w:pPr>
      <w:r>
        <w:rPr>
          <w:b w:val="0"/>
          <w:color w:val="23395B"/>
          <w:sz w:val="20"/>
        </w:rPr>
        <w:t>HACKATHON 2026 DEL INE · HACKEA LA PARTICIPACIÓN: DATOS QUE CONSTRUYEN DEMOCRACIA</w:t>
      </w:r>
    </w:p>
    <w:p>
      <w:pPr>
        <w:spacing w:after="100"/>
        <w:jc w:val="left"/>
      </w:pPr>
      <w:r>
        <w:rPr>
          <w:b w:val="0"/>
          <w:color w:val="7D8894"/>
          <w:sz w:val="22"/>
        </w:rPr>
        <w:t>Eje temático 2 · Predicción y escenarios de riesgo de abstención</w:t>
      </w:r>
    </w:p>
    <w:p>
      <w:pPr>
        <w:spacing w:after="80" w:line="252" w:lineRule="auto"/>
        <w:jc w:val="left"/>
      </w:pPr>
      <w:r>
        <w:rPr>
          <w:b/>
          <w:color w:val="14202B"/>
          <w:sz w:val="52"/>
        </w:rPr>
        <w:t>FAROS-2027 · Semáforo de riesgo de abstención 2027</w:t>
      </w:r>
    </w:p>
    <w:p>
      <w:pPr>
        <w:spacing w:after="100" w:line="288" w:lineRule="auto"/>
        <w:jc w:val="left"/>
      </w:pPr>
      <w:r>
        <w:rPr>
          <w:b w:val="0"/>
          <w:color w:val="23395B"/>
          <w:sz w:val="28"/>
        </w:rPr>
        <w:t>Focalización y Alerta de Riesgo de Abstención Subestatal mediante dos lentes de memoria electoral en las 32 entidades y 300 distritos federales</w:t>
      </w:r>
    </w:p>
    <w:p>
      <w:pPr>
        <w:spacing w:after="100"/>
        <w:jc w:val="left"/>
      </w:pPr>
      <w:r>
        <w:rPr>
          <w:b w:val="0"/>
          <w:color w:val="14202B"/>
          <w:sz w:val="24"/>
        </w:rPr>
        <w:t>Reporte metodológico y preventivo</w:t>
      </w:r>
    </w:p>
    <w:p/>
    <w:p/>
    <w:p>
      <w:pPr>
        <w:spacing w:after="100"/>
        <w:jc w:val="left"/>
      </w:pPr>
      <w:r>
        <w:rPr>
          <w:b/>
        </w:rPr>
        <w:t>Equipo:</w:t>
      </w:r>
      <w:r>
        <w:rPr>
          <w:b w:val="0"/>
        </w:rPr>
        <w:t xml:space="preserve"> Commit Democrático</w:t>
      </w:r>
    </w:p>
    <w:p>
      <w:pPr>
        <w:spacing w:after="100"/>
        <w:jc w:val="left"/>
      </w:pPr>
      <w:r>
        <w:rPr>
          <w:b/>
        </w:rPr>
        <w:t>Integrantes:</w:t>
      </w:r>
      <w:r>
        <w:rPr>
          <w:b w:val="0"/>
        </w:rPr>
        <w:t xml:space="preserve"> Francisco Jimenez Salgado, Víctor Manuel Ochoa-Zavala</w:t>
      </w:r>
    </w:p>
    <w:p>
      <w:pPr>
        <w:spacing w:after="100"/>
        <w:jc w:val="left"/>
      </w:pPr>
      <w:r>
        <w:rPr>
          <w:b/>
        </w:rPr>
        <w:t>Pregunta guía:</w:t>
      </w:r>
      <w:r>
        <w:rPr>
          <w:b w:val="0"/>
        </w:rPr>
        <w:t xml:space="preserve"> ¿Qué zonas podrían presentar mayor abstención en el futuro si no se interviene?</w:t>
      </w:r>
    </w:p>
    <w:p>
      <w:pPr>
        <w:spacing w:after="100"/>
        <w:jc w:val="left"/>
      </w:pPr>
      <w:r>
        <w:rPr>
          <w:b/>
        </w:rPr>
        <w:t>Fuente principal:</w:t>
      </w:r>
      <w:r>
        <w:rPr>
          <w:b w:val="0"/>
        </w:rPr>
        <w:t xml:space="preserve"> Plataforma de los Conteos Censales de Participación Ciudadana (CCPC) 2009–2024, INE-DECEyEC (ine.mx/transparencia/datos-abiertos/visualizacion-datos/conteos-censales-participacion/). </w:t>
      </w:r>
      <w:r>
        <w:rPr>
          <w:b/>
        </w:rPr>
        <w:t>Fuente complementaria:</w:t>
      </w:r>
      <w:r>
        <w:rPr>
          <w:b w:val="0"/>
        </w:rPr>
        <w:t xml:space="preserve"> Censo de Población y Vivienda 2020, INEGI.</w:t>
      </w:r>
    </w:p>
    <w:p>
      <w:pPr>
        <w:spacing w:after="100"/>
        <w:jc w:val="left"/>
      </w:pPr>
      <w:r>
        <w:rPr>
          <w:b/>
        </w:rPr>
        <w:t>Convocatoria:</w:t>
      </w:r>
      <w:r>
        <w:rPr>
          <w:b w:val="0"/>
        </w:rPr>
        <w:t xml:space="preserve"> ine.mx/hackathon-2026/</w:t>
      </w:r>
    </w:p>
    <w:p>
      <w:pPr>
        <w:spacing w:after="100"/>
        <w:jc w:val="left"/>
      </w:pPr>
      <w:r>
        <w:rPr>
          <w:b w:val="0"/>
          <w:color w:val="7D8894"/>
        </w:rPr>
        <w:t>Octubre de 2026</w:t>
      </w:r>
    </w:p>
    <w:p/>
    <w:p>
      <w:pPr>
        <w:spacing w:after="100"/>
        <w:jc w:val="left"/>
      </w:pPr>
      <w:r>
        <w:rPr>
          <w:b w:val="0"/>
          <w:color w:val="7D8894"/>
          <w:sz w:val="18"/>
        </w:rPr>
        <w:t>Todos los datos empleados son agregados y disociados: la unidad mínima de análisis es la celda entidad × tipo de sección × sexo × grupo de edad. El proyecto no utiliza ni produce datos personales.</w:t>
      </w:r>
    </w:p>
    <w:p>
      <w:r>
        <w:br w:type="page"/>
      </w:r>
    </w:p>
    <w:p>
      <w:pPr>
        <w:pStyle w:val="Heading1"/>
      </w:pPr>
      <w:r>
        <w:t>Planteamiento del problema</w:t>
      </w:r>
    </w:p>
    <w:p>
      <w:pPr>
        <w:spacing w:after="100"/>
        <w:jc w:val="both"/>
      </w:pPr>
      <w:r>
        <w:rPr>
          <w:b w:val="0"/>
        </w:rPr>
        <w:t xml:space="preserve">La convocatoria plantea el </w:t>
      </w:r>
      <w:r>
        <w:rPr>
          <w:b/>
        </w:rPr>
        <w:t>Reto 2, Predicción y escenarios de riesgo de abstención</w:t>
      </w:r>
      <w:r>
        <w:rPr>
          <w:b w:val="0"/>
        </w:rPr>
        <w:t xml:space="preserve">, como un problema de analítica predictiva: “analizar información histórica y características de los territorios para identificar dónde podría disminuir la participación ciudadana”, plantear escenarios y proponer acciones que prevengan o reduzcan esos riesgos. La pregunta guía es </w:t>
      </w:r>
      <w:r>
        <w:rPr>
          <w:b/>
        </w:rPr>
        <w:t>¿qué zonas podrían presentar mayor abstención en el futuro si no se interviene?</w:t>
      </w:r>
      <w:r>
        <w:rPr>
          <w:b w:val="0"/>
        </w:rPr>
        <w:t xml:space="preserve">, y su utilidad para el INE es la </w:t>
      </w:r>
      <w:r>
        <w:rPr>
          <w:b/>
        </w:rPr>
        <w:t>planeación anticipada y la priorización estratégica de recursos</w:t>
      </w:r>
      <w:r>
        <w:rPr>
          <w:b w:val="0"/>
        </w:rPr>
        <w:t>.</w:t>
      </w:r>
    </w:p>
    <w:p>
      <w:pPr>
        <w:spacing w:after="100"/>
        <w:jc w:val="both"/>
      </w:pPr>
      <w:r>
        <w:rPr>
          <w:b w:val="0"/>
        </w:rPr>
        <w:t xml:space="preserve">El problema es concreto. En las tres elecciones intermedias observadas la abstención fue de 55.9% (2009), 52.9% (2015) y 48.2% (2021), frente a 37.9%, 37.6% y 40.3% en las presidenciales. La próxima elección federal, en 2027, es intermedia. Los recursos de educación cívica son limitados, y para usarlos bien hay que saber con anticipación </w:t>
      </w:r>
      <w:r>
        <w:rPr>
          <w:b/>
        </w:rPr>
        <w:t>en qué entidades, en qué distritos y en qué grupos de población</w:t>
      </w:r>
      <w:r>
        <w:rPr>
          <w:b w:val="0"/>
        </w:rPr>
        <w:t xml:space="preserve"> crecerá la abstención. Un promedio nacional o estatal no basta: puede esconder territorios en riesgo dentro de entidades que, en conjunto, se ven bien.</w:t>
      </w:r>
    </w:p>
    <w:p>
      <w:pPr>
        <w:keepNext/>
        <w:spacing w:after="40" w:line="264" w:lineRule="auto"/>
        <w:jc w:val="left"/>
      </w:pPr>
      <w:r>
        <w:rPr>
          <w:b/>
          <w:sz w:val="19"/>
        </w:rPr>
        <w:t>Tabla 1.</w:t>
      </w:r>
      <w:r>
        <w:rPr>
          <w:b w:val="0"/>
          <w:sz w:val="19"/>
        </w:rPr>
        <w:t xml:space="preserve"> Requisitos del Reto 2 y dónde se atiende cada uno en este reporte</w:t>
      </w:r>
    </w:p>
    <w:tbl>
      <w:tblPr>
        <w:tblW w:type="dxa" w:w="9355"/>
        <w:jc w:val="center"/>
        <w:tblLayout w:type="fixed"/>
        <w:tblLook w:firstColumn="1" w:firstRow="1" w:lastColumn="0" w:lastRow="0" w:noHBand="0" w:noVBand="1" w:val="04A0"/>
        <w:tblBorders>
          <w:top w:val="single" w:sz="4" w:color="D5DCE3"/>
          <w:bottom w:val="single" w:sz="4" w:color="D5DCE3"/>
          <w:insideH w:val="single" w:sz="4" w:color="D5DCE3"/>
          <w:left w:val="nil"/>
          <w:right w:val="nil"/>
          <w:insideV w:val="nil"/>
        </w:tblBorders>
        <w:tblLayout w:type="fixed"/>
      </w:tblPr>
      <w:tblGrid>
        <w:gridCol w:w="6237"/>
        <w:gridCol w:w="3118"/>
      </w:tblGrid>
      <w:tr>
        <w:trPr>
          <w:cantSplit w:val="true"/>
          <w:tblHeader w:val="true"/>
        </w:trPr>
        <w:tc>
          <w:tcPr>
            <w:tcW w:type="dxa" w:w="6236"/>
            <w:shd w:val="clear" w:color="auto" w:fill="23395B"/>
          </w:tcPr>
          <w:p>
            <w:pPr>
              <w:keepNext/>
              <w:spacing w:after="20" w:before="20" w:line="240" w:lineRule="auto"/>
              <w:jc w:val="left"/>
            </w:pPr>
            <w:r/>
            <w:r>
              <w:rPr>
                <w:b/>
                <w:color w:val="FFFFFF"/>
                <w:sz w:val="17"/>
              </w:rPr>
              <w:t>Lo que pide la convocatoria</w:t>
            </w:r>
          </w:p>
        </w:tc>
        <w:tc>
          <w:tcPr>
            <w:tcW w:type="dxa" w:w="3118"/>
            <w:shd w:val="clear" w:color="auto" w:fill="23395B"/>
          </w:tcPr>
          <w:p>
            <w:pPr>
              <w:keepNext/>
              <w:spacing w:after="20" w:before="20" w:line="240" w:lineRule="auto"/>
              <w:jc w:val="left"/>
            </w:pPr>
            <w:r/>
            <w:r>
              <w:rPr>
                <w:b/>
                <w:color w:val="FFFFFF"/>
                <w:sz w:val="17"/>
              </w:rPr>
              <w:t>Dónde lo respondemos</w:t>
            </w:r>
          </w:p>
        </w:tc>
      </w:tr>
      <w:tr>
        <w:trPr>
          <w:cantSplit w:val="true"/>
        </w:trPr>
        <w:tc>
          <w:tcPr>
            <w:tcW w:type="dxa" w:w="6236"/>
          </w:tcPr>
          <w:p>
            <w:pPr>
              <w:keepNext/>
              <w:spacing w:after="20" w:before="20" w:line="240" w:lineRule="auto"/>
              <w:jc w:val="left"/>
            </w:pPr>
            <w:r/>
            <w:r>
              <w:rPr>
                <w:sz w:val="17"/>
              </w:rPr>
              <w:t>Construir un modelo simple de riesgo de abstención con tendencias históricas y variables sociodemográficas</w:t>
            </w:r>
          </w:p>
        </w:tc>
        <w:tc>
          <w:tcPr>
            <w:tcW w:type="dxa" w:w="3118"/>
          </w:tcPr>
          <w:p>
            <w:pPr>
              <w:keepNext/>
              <w:spacing w:after="20" w:before="20" w:line="240" w:lineRule="auto"/>
              <w:jc w:val="left"/>
            </w:pPr>
            <w:r/>
            <w:r>
              <w:rPr>
                <w:sz w:val="17"/>
              </w:rPr>
              <w:t>Secciones 2 y 3</w:t>
            </w:r>
          </w:p>
        </w:tc>
      </w:tr>
      <w:tr>
        <w:trPr>
          <w:cantSplit w:val="true"/>
        </w:trPr>
        <w:tc>
          <w:tcPr>
            <w:tcW w:type="dxa" w:w="6236"/>
            <w:shd w:val="clear" w:color="auto" w:fill="F2F5F8"/>
          </w:tcPr>
          <w:p>
            <w:pPr>
              <w:keepNext/>
              <w:spacing w:after="20" w:before="20" w:line="240" w:lineRule="auto"/>
              <w:jc w:val="left"/>
            </w:pPr>
            <w:r/>
            <w:r>
              <w:rPr>
                <w:sz w:val="17"/>
              </w:rPr>
              <w:t>Simular al menos dos escenarios: sin intervención y con una intervención hipotética</w:t>
            </w:r>
          </w:p>
        </w:tc>
        <w:tc>
          <w:tcPr>
            <w:tcW w:type="dxa" w:w="3118"/>
            <w:shd w:val="clear" w:color="auto" w:fill="F2F5F8"/>
          </w:tcPr>
          <w:p>
            <w:pPr>
              <w:keepNext/>
              <w:spacing w:after="20" w:before="20" w:line="240" w:lineRule="auto"/>
              <w:jc w:val="left"/>
            </w:pPr>
            <w:r/>
            <w:r>
              <w:rPr>
                <w:sz w:val="17"/>
              </w:rPr>
              <w:t>Sección 4</w:t>
            </w:r>
          </w:p>
        </w:tc>
      </w:tr>
      <w:tr>
        <w:trPr>
          <w:cantSplit w:val="true"/>
        </w:trPr>
        <w:tc>
          <w:tcPr>
            <w:tcW w:type="dxa" w:w="6236"/>
          </w:tcPr>
          <w:p>
            <w:pPr>
              <w:keepNext/>
              <w:spacing w:after="20" w:before="20" w:line="240" w:lineRule="auto"/>
              <w:jc w:val="left"/>
            </w:pPr>
            <w:r/>
            <w:r>
              <w:rPr>
                <w:sz w:val="17"/>
              </w:rPr>
              <w:t>Traducir los resultados a un esquema de riesgo territorial fácil de interpretar</w:t>
            </w:r>
          </w:p>
        </w:tc>
        <w:tc>
          <w:tcPr>
            <w:tcW w:type="dxa" w:w="3118"/>
          </w:tcPr>
          <w:p>
            <w:pPr>
              <w:keepNext/>
              <w:spacing w:after="20" w:before="20" w:line="240" w:lineRule="auto"/>
              <w:jc w:val="left"/>
            </w:pPr>
            <w:r/>
            <w:r>
              <w:rPr>
                <w:sz w:val="17"/>
              </w:rPr>
              <w:t>Secciones 4 y 5 (semáforo estatal y distrital)</w:t>
            </w:r>
          </w:p>
        </w:tc>
      </w:tr>
      <w:tr>
        <w:trPr>
          <w:cantSplit w:val="true"/>
        </w:trPr>
        <w:tc>
          <w:tcPr>
            <w:tcW w:type="dxa" w:w="6236"/>
            <w:shd w:val="clear" w:color="auto" w:fill="F2F5F8"/>
          </w:tcPr>
          <w:p>
            <w:pPr>
              <w:keepNext/>
              <w:spacing w:after="20" w:before="20" w:line="240" w:lineRule="auto"/>
              <w:jc w:val="left"/>
            </w:pPr>
            <w:r/>
            <w:r>
              <w:rPr>
                <w:sz w:val="17"/>
              </w:rPr>
              <w:t>Formular recomendaciones preventivas a partir de los escenarios</w:t>
            </w:r>
          </w:p>
        </w:tc>
        <w:tc>
          <w:tcPr>
            <w:tcW w:type="dxa" w:w="3118"/>
            <w:shd w:val="clear" w:color="auto" w:fill="F2F5F8"/>
          </w:tcPr>
          <w:p>
            <w:pPr>
              <w:keepNext/>
              <w:spacing w:after="20" w:before="20" w:line="240" w:lineRule="auto"/>
              <w:jc w:val="left"/>
            </w:pPr>
            <w:r/>
            <w:r>
              <w:rPr>
                <w:sz w:val="17"/>
              </w:rPr>
              <w:t>Sección 6</w:t>
            </w:r>
          </w:p>
        </w:tc>
      </w:tr>
      <w:tr>
        <w:trPr>
          <w:cantSplit w:val="true"/>
        </w:trPr>
        <w:tc>
          <w:tcPr>
            <w:tcW w:type="dxa" w:w="6236"/>
          </w:tcPr>
          <w:p>
            <w:pPr>
              <w:keepNext w:val="0"/>
              <w:spacing w:after="20" w:before="20" w:line="240" w:lineRule="auto"/>
              <w:jc w:val="left"/>
            </w:pPr>
            <w:r/>
            <w:r>
              <w:rPr>
                <w:sz w:val="17"/>
              </w:rPr>
              <w:t>Trabajar solo con información agregada y disociada, sin datos personales</w:t>
            </w:r>
          </w:p>
        </w:tc>
        <w:tc>
          <w:tcPr>
            <w:tcW w:type="dxa" w:w="3118"/>
          </w:tcPr>
          <w:p>
            <w:pPr>
              <w:keepNext w:val="0"/>
              <w:spacing w:after="20" w:before="20" w:line="240" w:lineRule="auto"/>
              <w:jc w:val="left"/>
            </w:pPr>
            <w:r/>
            <w:r>
              <w:rPr>
                <w:sz w:val="17"/>
              </w:rPr>
              <w:t>Sección 1</w:t>
            </w:r>
          </w:p>
        </w:tc>
      </w:tr>
    </w:tbl>
    <w:p>
      <w:pPr>
        <w:spacing w:after="40"/>
      </w:pPr>
    </w:p>
    <w:p>
      <w:pPr>
        <w:pStyle w:val="Heading1"/>
      </w:pPr>
      <w:r>
        <w:t>Hallazgos principales</w:t>
      </w:r>
    </w:p>
    <w:p>
      <w:pPr>
        <w:spacing w:after="100"/>
        <w:jc w:val="both"/>
      </w:pPr>
      <w:r>
        <w:rPr>
          <w:b/>
        </w:rPr>
        <w:t>Respuesta a la pregunta guía.</w:t>
      </w:r>
      <w:r>
        <w:rPr>
          <w:b w:val="0"/>
        </w:rPr>
        <w:t xml:space="preserve"> Si no se interviene, la abstención en la elección federal intermedia de 2027 subiría de 40.33% (observada en 2024) a </w:t>
      </w:r>
      <w:r>
        <w:rPr>
          <w:b/>
        </w:rPr>
        <w:t>49.10%</w:t>
      </w:r>
      <w:r>
        <w:rPr>
          <w:b w:val="0"/>
        </w:rPr>
        <w:t xml:space="preserve">. Ocho entidades concentran el riesgo alto: Baja California, Guanajuato, Durango, Sonora, Jalisco, Chihuahua, Baja California Sur y Michoacán. Tres de ellas (Guanajuato, Durango y Jalisco) no elegirán gubernatura en 2027, la variable de contexto que más protege la participación en nuestro modelo. Dentro de entidades que no están en rojo, además, </w:t>
      </w:r>
      <w:r>
        <w:rPr>
          <w:b/>
        </w:rPr>
        <w:t>22 distritos federales</w:t>
      </w:r>
      <w:r>
        <w:rPr>
          <w:b w:val="0"/>
        </w:rPr>
        <w:t xml:space="preserve"> superan el umbral de riesgo alto: el promedio estatal los esconde.</w:t>
      </w:r>
    </w:p>
    <w:p>
      <w:pPr>
        <w:keepNext/>
        <w:spacing w:after="40" w:line="264" w:lineRule="auto"/>
        <w:jc w:val="left"/>
      </w:pPr>
      <w:r>
        <w:rPr>
          <w:b/>
          <w:sz w:val="19"/>
        </w:rPr>
        <w:t>Tabla 2.</w:t>
      </w:r>
      <w:r>
        <w:rPr>
          <w:b w:val="0"/>
          <w:sz w:val="19"/>
        </w:rPr>
        <w:t xml:space="preserve"> Hallazgos en una mirada</w:t>
      </w:r>
    </w:p>
    <w:tbl>
      <w:tblPr>
        <w:tblW w:type="dxa" w:w="9355"/>
        <w:jc w:val="center"/>
        <w:tblLayout w:type="fixed"/>
        <w:tblLook w:firstColumn="1" w:firstRow="1" w:lastColumn="0" w:lastRow="0" w:noHBand="0" w:noVBand="1" w:val="04A0"/>
        <w:tblBorders>
          <w:top w:val="single" w:sz="4" w:color="D5DCE3"/>
          <w:bottom w:val="single" w:sz="4" w:color="D5DCE3"/>
          <w:insideH w:val="single" w:sz="4" w:color="D5DCE3"/>
          <w:left w:val="nil"/>
          <w:right w:val="nil"/>
          <w:insideV w:val="nil"/>
        </w:tblBorders>
        <w:tblLayout w:type="fixed"/>
      </w:tblPr>
      <w:tblGrid>
        <w:gridCol w:w="5443"/>
        <w:gridCol w:w="3912"/>
      </w:tblGrid>
      <w:tr>
        <w:trPr>
          <w:cantSplit w:val="true"/>
          <w:tblHeader w:val="true"/>
        </w:trPr>
        <w:tc>
          <w:tcPr>
            <w:tcW w:type="dxa" w:w="5443"/>
            <w:shd w:val="clear" w:color="auto" w:fill="23395B"/>
          </w:tcPr>
          <w:p>
            <w:pPr>
              <w:keepNext/>
              <w:spacing w:after="20" w:before="20" w:line="240" w:lineRule="auto"/>
              <w:jc w:val="left"/>
            </w:pPr>
            <w:r/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type="dxa" w:w="3912"/>
            <w:shd w:val="clear" w:color="auto" w:fill="23395B"/>
          </w:tcPr>
          <w:p>
            <w:pPr>
              <w:keepNext/>
              <w:spacing w:after="20" w:before="20" w:line="240" w:lineRule="auto"/>
              <w:jc w:val="left"/>
            </w:pPr>
            <w:r/>
            <w:r>
              <w:rPr>
                <w:b/>
                <w:color w:val="FFFFFF"/>
                <w:sz w:val="18"/>
              </w:rPr>
              <w:t>Resultado</w:t>
            </w:r>
          </w:p>
        </w:tc>
      </w:tr>
      <w:tr>
        <w:trPr>
          <w:cantSplit w:val="true"/>
        </w:trPr>
        <w:tc>
          <w:tcPr>
            <w:tcW w:type="dxa" w:w="5443"/>
          </w:tcPr>
          <w:p>
            <w:pPr>
              <w:keepNext/>
              <w:spacing w:after="20" w:before="20" w:line="240" w:lineRule="auto"/>
              <w:jc w:val="left"/>
            </w:pPr>
            <w:r/>
            <w:r>
              <w:rPr>
                <w:sz w:val="18"/>
              </w:rPr>
              <w:t>Abstención nacional observada 2024</w:t>
            </w:r>
          </w:p>
        </w:tc>
        <w:tc>
          <w:tcPr>
            <w:tcW w:type="dxa" w:w="3912"/>
          </w:tcPr>
          <w:p>
            <w:pPr>
              <w:keepNext/>
              <w:spacing w:after="20" w:before="20" w:line="240" w:lineRule="auto"/>
              <w:jc w:val="left"/>
            </w:pPr>
            <w:r/>
            <w:r>
              <w:rPr>
                <w:sz w:val="18"/>
              </w:rPr>
              <w:t>40.33%</w:t>
            </w:r>
          </w:p>
        </w:tc>
      </w:tr>
      <w:tr>
        <w:trPr>
          <w:cantSplit w:val="true"/>
        </w:trPr>
        <w:tc>
          <w:tcPr>
            <w:tcW w:type="dxa" w:w="5443"/>
            <w:shd w:val="clear" w:color="auto" w:fill="F2F5F8"/>
          </w:tcPr>
          <w:p>
            <w:pPr>
              <w:keepNext/>
              <w:spacing w:after="20" w:before="20" w:line="240" w:lineRule="auto"/>
              <w:jc w:val="left"/>
            </w:pPr>
            <w:r/>
            <w:r>
              <w:rPr>
                <w:sz w:val="18"/>
              </w:rPr>
              <w:t>Abstención proyectada 2027 sin intervención (Escenario 1)</w:t>
            </w:r>
          </w:p>
        </w:tc>
        <w:tc>
          <w:tcPr>
            <w:tcW w:type="dxa" w:w="3912"/>
            <w:shd w:val="clear" w:color="auto" w:fill="F2F5F8"/>
          </w:tcPr>
          <w:p>
            <w:pPr>
              <w:keepNext/>
              <w:spacing w:after="20" w:before="20" w:line="240" w:lineRule="auto"/>
              <w:jc w:val="left"/>
            </w:pPr>
            <w:r/>
            <w:r>
              <w:rPr>
                <w:sz w:val="18"/>
              </w:rPr>
              <w:t>49.10%  ·  8 entidades en rojo</w:t>
            </w:r>
          </w:p>
        </w:tc>
      </w:tr>
      <w:tr>
        <w:trPr>
          <w:cantSplit w:val="true"/>
        </w:trPr>
        <w:tc>
          <w:tcPr>
            <w:tcW w:type="dxa" w:w="5443"/>
          </w:tcPr>
          <w:p>
            <w:pPr>
              <w:keepNext/>
              <w:spacing w:after="20" w:before="20" w:line="240" w:lineRule="auto"/>
              <w:jc w:val="left"/>
            </w:pPr>
            <w:r/>
            <w:r>
              <w:rPr>
                <w:sz w:val="18"/>
              </w:rPr>
              <w:t>Escenario 2A · intervención nacional (−15% en jóvenes y secciones rurales)</w:t>
            </w:r>
          </w:p>
        </w:tc>
        <w:tc>
          <w:tcPr>
            <w:tcW w:type="dxa" w:w="3912"/>
          </w:tcPr>
          <w:p>
            <w:pPr>
              <w:keepNext/>
              <w:spacing w:after="20" w:before="20" w:line="240" w:lineRule="auto"/>
              <w:jc w:val="left"/>
            </w:pPr>
            <w:r/>
            <w:r>
              <w:rPr>
                <w:sz w:val="18"/>
              </w:rPr>
              <w:t>45.96%  ·  4 en rojo  ·  3,247,560 personas</w:t>
            </w:r>
          </w:p>
        </w:tc>
      </w:tr>
      <w:tr>
        <w:trPr>
          <w:cantSplit w:val="true"/>
        </w:trPr>
        <w:tc>
          <w:tcPr>
            <w:tcW w:type="dxa" w:w="5443"/>
            <w:shd w:val="clear" w:color="auto" w:fill="F2F5F8"/>
          </w:tcPr>
          <w:p>
            <w:pPr>
              <w:keepNext/>
              <w:spacing w:after="20" w:before="20" w:line="240" w:lineRule="auto"/>
              <w:jc w:val="left"/>
            </w:pPr>
            <w:r/>
            <w:r>
              <w:rPr>
                <w:sz w:val="18"/>
              </w:rPr>
              <w:t>Escenario 2B · misma intervención solo en las 8 entidades en rojo</w:t>
            </w:r>
          </w:p>
        </w:tc>
        <w:tc>
          <w:tcPr>
            <w:tcW w:type="dxa" w:w="3912"/>
            <w:shd w:val="clear" w:color="auto" w:fill="F2F5F8"/>
          </w:tcPr>
          <w:p>
            <w:pPr>
              <w:keepNext/>
              <w:spacing w:after="20" w:before="20" w:line="240" w:lineRule="auto"/>
              <w:jc w:val="left"/>
            </w:pPr>
            <w:r/>
            <w:r>
              <w:rPr>
                <w:sz w:val="18"/>
              </w:rPr>
              <w:t>48.18%  ·  4 en rojo  ·  952,822 personas</w:t>
            </w:r>
          </w:p>
        </w:tc>
      </w:tr>
      <w:tr>
        <w:trPr>
          <w:cantSplit w:val="true"/>
        </w:trPr>
        <w:tc>
          <w:tcPr>
            <w:tcW w:type="dxa" w:w="5443"/>
          </w:tcPr>
          <w:p>
            <w:pPr>
              <w:keepNext/>
              <w:spacing w:after="20" w:before="20" w:line="240" w:lineRule="auto"/>
              <w:jc w:val="left"/>
            </w:pPr>
            <w:r/>
            <w:r>
              <w:rPr>
                <w:sz w:val="18"/>
              </w:rPr>
              <w:t>Error medio del modelo en validación retrospectiva (2021 y 2024)</w:t>
            </w:r>
          </w:p>
        </w:tc>
        <w:tc>
          <w:tcPr>
            <w:tcW w:type="dxa" w:w="3912"/>
          </w:tcPr>
          <w:p>
            <w:pPr>
              <w:keepNext/>
              <w:spacing w:after="20" w:before="20" w:line="240" w:lineRule="auto"/>
              <w:jc w:val="left"/>
            </w:pPr>
            <w:r/>
            <w:r>
              <w:rPr>
                <w:sz w:val="18"/>
              </w:rPr>
              <w:t>±4.62 pp por entidad</w:t>
            </w:r>
          </w:p>
        </w:tc>
      </w:tr>
      <w:tr>
        <w:trPr>
          <w:cantSplit w:val="true"/>
        </w:trPr>
        <w:tc>
          <w:tcPr>
            <w:tcW w:type="dxa" w:w="5443"/>
            <w:shd w:val="clear" w:color="auto" w:fill="F2F5F8"/>
          </w:tcPr>
          <w:p>
            <w:pPr>
              <w:keepNext w:val="0"/>
              <w:spacing w:after="20" w:before="20" w:line="240" w:lineRule="auto"/>
              <w:jc w:val="left"/>
            </w:pPr>
            <w:r/>
            <w:r>
              <w:rPr>
                <w:sz w:val="18"/>
              </w:rPr>
              <w:t>Distritos federales en riesgo alto (de 300)</w:t>
            </w:r>
          </w:p>
        </w:tc>
        <w:tc>
          <w:tcPr>
            <w:tcW w:type="dxa" w:w="3912"/>
            <w:shd w:val="clear" w:color="auto" w:fill="F2F5F8"/>
          </w:tcPr>
          <w:p>
            <w:pPr>
              <w:keepNext w:val="0"/>
              <w:spacing w:after="20" w:before="20" w:line="240" w:lineRule="auto"/>
              <w:jc w:val="left"/>
            </w:pPr>
            <w:r/>
            <w:r>
              <w:rPr>
                <w:sz w:val="18"/>
              </w:rPr>
              <w:t>75, de los cuales 22 están ocultos</w:t>
            </w:r>
          </w:p>
        </w:tc>
      </w:tr>
    </w:tbl>
    <w:p>
      <w:pPr>
        <w:spacing w:after="40"/>
      </w:pPr>
    </w:p>
    <w:p>
      <w:pPr>
        <w:keepNext/>
        <w:spacing w:after="40" w:line="264" w:lineRule="auto"/>
        <w:jc w:val="left"/>
      </w:pPr>
      <w:r>
        <w:rPr>
          <w:b/>
          <w:sz w:val="19"/>
        </w:rPr>
        <w:t>Tabla 3.</w:t>
      </w:r>
      <w:r>
        <w:rPr>
          <w:b w:val="0"/>
          <w:sz w:val="19"/>
        </w:rPr>
        <w:t xml:space="preserve"> Qué entregamos y en qué archivo está cada cosa</w:t>
      </w:r>
    </w:p>
    <w:tbl>
      <w:tblPr>
        <w:tblW w:type="dxa" w:w="9355"/>
        <w:jc w:val="center"/>
        <w:tblLayout w:type="fixed"/>
        <w:tblLook w:firstColumn="1" w:firstRow="1" w:lastColumn="0" w:lastRow="0" w:noHBand="0" w:noVBand="1" w:val="04A0"/>
        <w:tblBorders>
          <w:top w:val="single" w:sz="4" w:color="D5DCE3"/>
          <w:bottom w:val="single" w:sz="4" w:color="D5DCE3"/>
          <w:insideH w:val="single" w:sz="4" w:color="D5DCE3"/>
          <w:left w:val="nil"/>
          <w:right w:val="nil"/>
          <w:insideV w:val="nil"/>
        </w:tblBorders>
        <w:tblLayout w:type="fixed"/>
      </w:tblPr>
      <w:tblGrid>
        <w:gridCol w:w="1927"/>
        <w:gridCol w:w="3515"/>
        <w:gridCol w:w="3912"/>
      </w:tblGrid>
      <w:tr>
        <w:trPr>
          <w:cantSplit w:val="true"/>
          <w:tblHeader w:val="true"/>
        </w:trPr>
        <w:tc>
          <w:tcPr>
            <w:tcW w:type="dxa" w:w="1928"/>
            <w:shd w:val="clear" w:color="auto" w:fill="23395B"/>
          </w:tcPr>
          <w:p>
            <w:pPr>
              <w:keepNext/>
              <w:spacing w:after="20" w:before="20" w:line="240" w:lineRule="auto"/>
              <w:jc w:val="left"/>
            </w:pPr>
            <w:r/>
            <w:r>
              <w:rPr>
                <w:b/>
                <w:color w:val="FFFFFF"/>
                <w:sz w:val="16"/>
              </w:rPr>
              <w:t>Entregable</w:t>
            </w:r>
          </w:p>
        </w:tc>
        <w:tc>
          <w:tcPr>
            <w:tcW w:type="dxa" w:w="3515"/>
            <w:shd w:val="clear" w:color="auto" w:fill="23395B"/>
          </w:tcPr>
          <w:p>
            <w:pPr>
              <w:keepNext/>
              <w:spacing w:after="20" w:before="20" w:line="240" w:lineRule="auto"/>
              <w:jc w:val="left"/>
            </w:pPr>
            <w:r/>
            <w:r>
              <w:rPr>
                <w:b/>
                <w:color w:val="FFFFFF"/>
                <w:sz w:val="16"/>
              </w:rPr>
              <w:t>Archivo</w:t>
            </w:r>
          </w:p>
        </w:tc>
        <w:tc>
          <w:tcPr>
            <w:tcW w:type="dxa" w:w="3912"/>
            <w:shd w:val="clear" w:color="auto" w:fill="23395B"/>
          </w:tcPr>
          <w:p>
            <w:pPr>
              <w:keepNext/>
              <w:spacing w:after="20" w:before="20" w:line="240" w:lineRule="auto"/>
              <w:jc w:val="left"/>
            </w:pPr>
            <w:r/>
            <w:r>
              <w:rPr>
                <w:b/>
                <w:color w:val="FFFFFF"/>
                <w:sz w:val="16"/>
              </w:rPr>
              <w:t>Qué contiene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keepNext/>
              <w:spacing w:after="20" w:before="20" w:line="240" w:lineRule="auto"/>
              <w:jc w:val="left"/>
            </w:pPr>
            <w:r/>
            <w:r>
              <w:rPr>
                <w:sz w:val="16"/>
              </w:rPr>
              <w:t>Reporte metodológico y preventivo</w:t>
            </w:r>
          </w:p>
        </w:tc>
        <w:tc>
          <w:tcPr>
            <w:tcW w:type="dxa" w:w="3515"/>
          </w:tcPr>
          <w:p>
            <w:pPr>
              <w:keepNext/>
              <w:spacing w:after="20" w:before="20" w:line="240" w:lineRule="auto"/>
              <w:jc w:val="left"/>
            </w:pPr>
            <w:r/>
            <w:r>
              <w:rPr>
                <w:sz w:val="16"/>
              </w:rPr>
              <w:t>2_Reporte_Metodologico_Preventivo_Commit_Democratico_Eje2.pdf</w:t>
            </w:r>
          </w:p>
        </w:tc>
        <w:tc>
          <w:tcPr>
            <w:tcW w:type="dxa" w:w="3912"/>
          </w:tcPr>
          <w:p>
            <w:pPr>
              <w:keepNext/>
              <w:spacing w:after="20" w:before="20" w:line="240" w:lineRule="auto"/>
              <w:jc w:val="left"/>
            </w:pPr>
            <w:r/>
            <w:r>
              <w:rPr>
                <w:sz w:val="16"/>
              </w:rPr>
              <w:t>Este documento: variables, modelo, semáforo y recomendaciones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2F5F8"/>
          </w:tcPr>
          <w:p>
            <w:pPr>
              <w:keepNext/>
              <w:spacing w:after="20" w:before="20" w:line="240" w:lineRule="auto"/>
              <w:jc w:val="left"/>
            </w:pPr>
            <w:r/>
            <w:r>
              <w:rPr>
                <w:sz w:val="16"/>
              </w:rPr>
              <w:t>Mapa de escenarios ejecutable</w:t>
            </w:r>
          </w:p>
        </w:tc>
        <w:tc>
          <w:tcPr>
            <w:tcW w:type="dxa" w:w="3515"/>
            <w:shd w:val="clear" w:color="auto" w:fill="F2F5F8"/>
          </w:tcPr>
          <w:p>
            <w:pPr>
              <w:keepNext/>
              <w:spacing w:after="20" w:before="20" w:line="240" w:lineRule="auto"/>
              <w:jc w:val="left"/>
            </w:pPr>
            <w:r/>
            <w:r>
              <w:rPr>
                <w:sz w:val="16"/>
              </w:rPr>
              <w:t>3_Mapa_Escenarios / Mapa_Escenarios_Con_y_Sin_Intervencion.html</w:t>
            </w:r>
          </w:p>
        </w:tc>
        <w:tc>
          <w:tcPr>
            <w:tcW w:type="dxa" w:w="3912"/>
            <w:shd w:val="clear" w:color="auto" w:fill="F2F5F8"/>
          </w:tcPr>
          <w:p>
            <w:pPr>
              <w:keepNext/>
              <w:spacing w:after="20" w:before="20" w:line="240" w:lineRule="auto"/>
              <w:jc w:val="left"/>
            </w:pPr>
            <w:r/>
            <w:r>
              <w:rPr>
                <w:sz w:val="16"/>
              </w:rPr>
              <w:t>Tablero que compara el mapa sin y con intervención (2A y 2B) y los 300 distritos; funciona sin internet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keepNext/>
              <w:spacing w:after="20" w:before="20" w:line="240" w:lineRule="auto"/>
              <w:jc w:val="left"/>
            </w:pPr>
            <w:r/>
            <w:r>
              <w:rPr>
                <w:sz w:val="16"/>
              </w:rPr>
              <w:t>Capa geoespacial</w:t>
            </w:r>
          </w:p>
        </w:tc>
        <w:tc>
          <w:tcPr>
            <w:tcW w:type="dxa" w:w="3515"/>
          </w:tcPr>
          <w:p>
            <w:pPr>
              <w:keepNext/>
              <w:spacing w:after="20" w:before="20" w:line="240" w:lineRule="auto"/>
              <w:jc w:val="left"/>
            </w:pPr>
            <w:r/>
            <w:r>
              <w:rPr>
                <w:sz w:val="16"/>
              </w:rPr>
              <w:t>3_Mapa_Escenarios / Capa_Escenarios_32_Entidades.geojson</w:t>
            </w:r>
          </w:p>
        </w:tc>
        <w:tc>
          <w:tcPr>
            <w:tcW w:type="dxa" w:w="3912"/>
          </w:tcPr>
          <w:p>
            <w:pPr>
              <w:keepNext/>
              <w:spacing w:after="20" w:before="20" w:line="240" w:lineRule="auto"/>
              <w:jc w:val="left"/>
            </w:pPr>
            <w:r/>
            <w:r>
              <w:rPr>
                <w:sz w:val="16"/>
              </w:rPr>
              <w:t>Las 32 entidades con todas las variables del modelo, para QGIS, Power BI o Tableau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2F5F8"/>
          </w:tcPr>
          <w:p>
            <w:pPr>
              <w:keepNext/>
              <w:spacing w:after="20" w:before="20" w:line="240" w:lineRule="auto"/>
              <w:jc w:val="left"/>
            </w:pPr>
            <w:r/>
            <w:r>
              <w:rPr>
                <w:sz w:val="16"/>
              </w:rPr>
              <w:t>Base de datos anonimizada</w:t>
            </w:r>
          </w:p>
        </w:tc>
        <w:tc>
          <w:tcPr>
            <w:tcW w:type="dxa" w:w="3515"/>
            <w:shd w:val="clear" w:color="auto" w:fill="F2F5F8"/>
          </w:tcPr>
          <w:p>
            <w:pPr>
              <w:keepNext/>
              <w:spacing w:after="20" w:before="20" w:line="240" w:lineRule="auto"/>
              <w:jc w:val="left"/>
            </w:pPr>
            <w:r/>
            <w:r>
              <w:rPr>
                <w:sz w:val="16"/>
              </w:rPr>
              <w:t>4_Base_Datos_Anonimizada / Base_Datos_Anonimizada_CCPC_2009_2024 (.xlsx y .csv)</w:t>
            </w:r>
          </w:p>
        </w:tc>
        <w:tc>
          <w:tcPr>
            <w:tcW w:type="dxa" w:w="3912"/>
            <w:shd w:val="clear" w:color="auto" w:fill="F2F5F8"/>
          </w:tcPr>
          <w:p>
            <w:pPr>
              <w:keepNext/>
              <w:spacing w:after="20" w:before="20" w:line="240" w:lineRule="auto"/>
              <w:jc w:val="left"/>
            </w:pPr>
            <w:r/>
            <w:r>
              <w:rPr>
                <w:sz w:val="16"/>
              </w:rPr>
              <w:t>32 entidades × 107 variables; 7 hojas, incluidos los 300 distritos y el diccionario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keepNext/>
              <w:spacing w:after="20" w:before="20" w:line="240" w:lineRule="auto"/>
              <w:jc w:val="left"/>
            </w:pPr>
            <w:r/>
            <w:r>
              <w:rPr>
                <w:sz w:val="16"/>
              </w:rPr>
              <w:t>Código para repositorio</w:t>
            </w:r>
          </w:p>
        </w:tc>
        <w:tc>
          <w:tcPr>
            <w:tcW w:type="dxa" w:w="3515"/>
          </w:tcPr>
          <w:p>
            <w:pPr>
              <w:keepNext/>
              <w:spacing w:after="20" w:before="20" w:line="240" w:lineRule="auto"/>
              <w:jc w:val="left"/>
            </w:pPr>
            <w:r/>
            <w:r>
              <w:rPr>
                <w:sz w:val="16"/>
              </w:rPr>
              <w:t>5_Codigo_Repositorio (run_all.py)</w:t>
            </w:r>
          </w:p>
        </w:tc>
        <w:tc>
          <w:tcPr>
            <w:tcW w:type="dxa" w:w="3912"/>
          </w:tcPr>
          <w:p>
            <w:pPr>
              <w:keepNext/>
              <w:spacing w:after="20" w:before="20" w:line="240" w:lineRule="auto"/>
              <w:jc w:val="left"/>
            </w:pPr>
            <w:r/>
            <w:r>
              <w:rPr>
                <w:sz w:val="16"/>
              </w:rPr>
              <w:t>Seis scripts en Python que reproducen todas las cifras de este reporte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2F5F8"/>
          </w:tcPr>
          <w:p>
            <w:pPr>
              <w:keepNext w:val="0"/>
              <w:spacing w:after="20" w:before="20" w:line="240" w:lineRule="auto"/>
              <w:jc w:val="left"/>
            </w:pPr>
            <w:r/>
            <w:r>
              <w:rPr>
                <w:sz w:val="16"/>
              </w:rPr>
              <w:t>Presentación ejecutiva</w:t>
            </w:r>
          </w:p>
        </w:tc>
        <w:tc>
          <w:tcPr>
            <w:tcW w:type="dxa" w:w="3515"/>
            <w:shd w:val="clear" w:color="auto" w:fill="F2F5F8"/>
          </w:tcPr>
          <w:p>
            <w:pPr>
              <w:keepNext w:val="0"/>
              <w:spacing w:after="20" w:before="20" w:line="240" w:lineRule="auto"/>
              <w:jc w:val="left"/>
            </w:pPr>
            <w:r/>
            <w:r>
              <w:rPr>
                <w:sz w:val="16"/>
              </w:rPr>
              <w:t>1_Presentacion_Ejecutiva_Commit_Democratico_Eje2.pdf</w:t>
            </w:r>
          </w:p>
        </w:tc>
        <w:tc>
          <w:tcPr>
            <w:tcW w:type="dxa" w:w="3912"/>
            <w:shd w:val="clear" w:color="auto" w:fill="F2F5F8"/>
          </w:tcPr>
          <w:p>
            <w:pPr>
              <w:keepNext w:val="0"/>
              <w:spacing w:after="20" w:before="20" w:line="240" w:lineRule="auto"/>
              <w:jc w:val="left"/>
            </w:pPr>
            <w:r/>
            <w:r>
              <w:rPr>
                <w:sz w:val="16"/>
              </w:rPr>
              <w:t>Diez diapositivas para el Comité Dictaminador</w:t>
            </w:r>
          </w:p>
        </w:tc>
      </w:tr>
    </w:tbl>
    <w:p>
      <w:pPr>
        <w:spacing w:after="40"/>
      </w:pPr>
    </w:p>
    <w:p>
      <w:pPr>
        <w:spacing w:after="100"/>
        <w:jc w:val="both"/>
      </w:pPr>
      <w:r>
        <w:rPr>
          <w:b/>
        </w:rPr>
        <w:t>Qué proponemos.</w:t>
      </w:r>
      <w:r>
        <w:rPr>
          <w:b w:val="0"/>
        </w:rPr>
        <w:t xml:space="preserve"> (1) Asignar recursos de educación cívica con una regla subestatal que priorice los 75 distritos en rojo y no solo las entidades en rojo; (2) concentrar la estrategia ENCÍVICA en juventudes, con énfasis en hombres jóvenes; (3) contrarrestar la “fatiga de intermedia” en las 15 entidades sin gubernatura en 2027; y (4) operar con pertinencia intercultural en secciones rurales e indígenas. El Escenario 2B muestra que intervenir solo en las 8 entidades en rojo logra la misma reducción de entidades en rojo (de 8 a 4) con 29% del alcance poblacional de la intervención nacional.</w:t>
      </w:r>
    </w:p>
    <w:p>
      <w:pPr>
        <w:pStyle w:val="Heading1"/>
      </w:pPr>
      <w:r>
        <w:t>1. Arquitectura de datos, fuentes oficiales y garantía de privacidad</w:t>
      </w:r>
    </w:p>
    <w:p>
      <w:pPr>
        <w:pStyle w:val="Heading2"/>
      </w:pPr>
      <w:r>
        <w:t>1.1 Fuentes</w:t>
      </w:r>
    </w:p>
    <w:p>
      <w:pPr>
        <w:spacing w:after="100"/>
        <w:jc w:val="both"/>
      </w:pPr>
      <w:r>
        <w:rPr>
          <w:b w:val="0"/>
        </w:rPr>
        <w:t xml:space="preserve">La fuente obligatoria y núcleo del modelo son los </w:t>
      </w:r>
      <w:r>
        <w:rPr>
          <w:b/>
        </w:rPr>
        <w:t>datos abiertos de la Plataforma CCPC 2009–2024</w:t>
      </w:r>
      <w:r>
        <w:rPr>
          <w:b w:val="0"/>
        </w:rPr>
        <w:t xml:space="preserve"> publicados por la DECEyEC. Para cada elección federal (2009, 2012, 2015, 2018, 2021 y 2024) el INE publica 32 archivos estatales con registros agregados por sección electoral, sexo y edad, con cuatro conteos: lista nominal (LN), registros con marca de voto (SV), sin marca de voto (NV) y no especificados (NS). Utilizamos los microdatos agregados en lugar de las vistas del tablero para conservar el desglose completo por segmento y garantizar reproducibilidad. Como fuente complementaria, del </w:t>
      </w:r>
      <w:r>
        <w:rPr>
          <w:b/>
        </w:rPr>
        <w:t>Censo de Población y Vivienda 2020 (INEGI, archivo ITER)</w:t>
      </w:r>
      <w:r>
        <w:rPr>
          <w:b w:val="0"/>
        </w:rPr>
        <w:t xml:space="preserve"> se tomaron, por entidad, la población hablante de lengua indígena, la población en hogares indígenas y la población afromexicana, variables que la CCPC no publica en sus datos abiertos (https://www.inegi.org.mx/contenidos/programas/ccpv/2020/datosabiertos/iter/iter_00_cpv2020_csv.zip). Los logotipos y las bases del concurso provienen de https://ine.mx/hackathon-2026/.</w:t>
      </w:r>
    </w:p>
    <w:p>
      <w:pPr>
        <w:spacing w:after="100"/>
        <w:jc w:val="both"/>
      </w:pPr>
      <w:r>
        <w:rPr>
          <w:b w:val="0"/>
        </w:rPr>
        <w:t xml:space="preserve">Los archivos se descargaron el 26 de octubre de 2026 desde la sección de datos abiertos de la plataforma (https://ine.mx/transparencia/datos-abiertos/visualizacion-datos/conteos-censales-participacion/). La Tabla 4 registra cada archivo, su tamaño y el número de registros que se procesaron; en total se leyeron </w:t>
      </w:r>
      <w:r>
        <w:rPr>
          <w:b/>
        </w:rPr>
        <w:t>54,872,712 registros</w:t>
      </w:r>
      <w:r>
        <w:rPr>
          <w:b w:val="0"/>
        </w:rPr>
        <w:t>.</w:t>
      </w:r>
    </w:p>
    <w:p>
      <w:pPr>
        <w:keepNext/>
        <w:spacing w:after="40" w:line="264" w:lineRule="auto"/>
        <w:jc w:val="left"/>
      </w:pPr>
      <w:r>
        <w:rPr>
          <w:b/>
          <w:sz w:val="19"/>
        </w:rPr>
        <w:t>Tabla 4.</w:t>
      </w:r>
      <w:r>
        <w:rPr>
          <w:b w:val="0"/>
          <w:sz w:val="19"/>
        </w:rPr>
        <w:t xml:space="preserve"> Archivos oficiales de la CCPC procesados</w:t>
      </w:r>
    </w:p>
    <w:tbl>
      <w:tblPr>
        <w:tblW w:type="dxa" w:w="9355"/>
        <w:jc w:val="center"/>
        <w:tblLayout w:type="fixed"/>
        <w:tblLook w:firstColumn="1" w:firstRow="1" w:lastColumn="0" w:lastRow="0" w:noHBand="0" w:noVBand="1" w:val="04A0"/>
        <w:tblBorders>
          <w:top w:val="single" w:sz="4" w:color="D5DCE3"/>
          <w:bottom w:val="single" w:sz="4" w:color="D5DCE3"/>
          <w:insideH w:val="single" w:sz="4" w:color="D5DCE3"/>
          <w:left w:val="nil"/>
          <w:right w:val="nil"/>
          <w:insideV w:val="nil"/>
        </w:tblBorders>
        <w:tblLayout w:type="fixed"/>
      </w:tblPr>
      <w:tblGrid>
        <w:gridCol w:w="737"/>
        <w:gridCol w:w="4876"/>
        <w:gridCol w:w="1134"/>
        <w:gridCol w:w="1190"/>
        <w:gridCol w:w="1417"/>
      </w:tblGrid>
      <w:tr>
        <w:trPr>
          <w:cantSplit w:val="true"/>
          <w:tblHeader w:val="true"/>
        </w:trPr>
        <w:tc>
          <w:tcPr>
            <w:tcW w:type="dxa" w:w="737"/>
            <w:shd w:val="clear" w:color="auto" w:fill="23395B"/>
          </w:tcPr>
          <w:p>
            <w:pPr>
              <w:keepNext/>
              <w:spacing w:after="20" w:before="20" w:line="240" w:lineRule="auto"/>
              <w:jc w:val="left"/>
            </w:pPr>
            <w:r/>
            <w:r>
              <w:rPr>
                <w:b/>
                <w:color w:val="FFFFFF"/>
                <w:sz w:val="16"/>
              </w:rPr>
              <w:t>Año</w:t>
            </w:r>
          </w:p>
        </w:tc>
        <w:tc>
          <w:tcPr>
            <w:tcW w:type="dxa" w:w="4876"/>
            <w:shd w:val="clear" w:color="auto" w:fill="23395B"/>
          </w:tcPr>
          <w:p>
            <w:pPr>
              <w:keepNext/>
              <w:spacing w:after="20" w:before="20" w:line="240" w:lineRule="auto"/>
              <w:jc w:val="left"/>
            </w:pPr>
            <w:r/>
            <w:r>
              <w:rPr>
                <w:b/>
                <w:color w:val="FFFFFF"/>
                <w:sz w:val="16"/>
              </w:rPr>
              <w:t>Archivo oficial (INE-DECEyEC)</w:t>
            </w:r>
          </w:p>
        </w:tc>
        <w:tc>
          <w:tcPr>
            <w:tcW w:type="dxa" w:w="1134"/>
            <w:shd w:val="clear" w:color="auto" w:fill="23395B"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b/>
                <w:color w:val="FFFFFF"/>
                <w:sz w:val="16"/>
              </w:rPr>
              <w:t>Tamaño</w:t>
            </w:r>
          </w:p>
        </w:tc>
        <w:tc>
          <w:tcPr>
            <w:tcW w:type="dxa" w:w="1191"/>
            <w:shd w:val="clear" w:color="auto" w:fill="23395B"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b/>
                <w:color w:val="FFFFFF"/>
                <w:sz w:val="16"/>
              </w:rPr>
              <w:t>CSV estatales</w:t>
            </w:r>
          </w:p>
        </w:tc>
        <w:tc>
          <w:tcPr>
            <w:tcW w:type="dxa" w:w="1417"/>
            <w:shd w:val="clear" w:color="auto" w:fill="23395B"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b/>
                <w:color w:val="FFFFFF"/>
                <w:sz w:val="16"/>
              </w:rPr>
              <w:t>Registros leídos</w:t>
            </w:r>
          </w:p>
        </w:tc>
      </w:tr>
      <w:tr>
        <w:trPr>
          <w:cantSplit w:val="true"/>
        </w:trPr>
        <w:tc>
          <w:tcPr>
            <w:tcW w:type="dxa" w:w="737"/>
          </w:tcPr>
          <w:p>
            <w:pPr>
              <w:keepNext/>
              <w:spacing w:after="20" w:before="20" w:line="240" w:lineRule="auto"/>
              <w:jc w:val="left"/>
            </w:pPr>
            <w:r/>
            <w:r>
              <w:rPr>
                <w:sz w:val="16"/>
              </w:rPr>
              <w:t>2009</w:t>
            </w:r>
          </w:p>
        </w:tc>
        <w:tc>
          <w:tcPr>
            <w:tcW w:type="dxa" w:w="4876"/>
          </w:tcPr>
          <w:p>
            <w:pPr>
              <w:keepNext/>
              <w:spacing w:after="20" w:before="20" w:line="240" w:lineRule="auto"/>
              <w:jc w:val="left"/>
            </w:pPr>
            <w:r/>
            <w:r>
              <w:rPr>
                <w:sz w:val="16"/>
              </w:rPr>
              <w:t>DatosAbiertos_DECEyEC_ConteosCensales2009.zip</w:t>
            </w:r>
          </w:p>
        </w:tc>
        <w:tc>
          <w:tcPr>
            <w:tcW w:type="dxa" w:w="1134"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sz w:val="16"/>
              </w:rPr>
              <w:t>40.2 MB</w:t>
            </w:r>
          </w:p>
        </w:tc>
        <w:tc>
          <w:tcPr>
            <w:tcW w:type="dxa" w:w="1191"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sz w:val="16"/>
              </w:rPr>
              <w:t>32</w:t>
            </w:r>
          </w:p>
        </w:tc>
        <w:tc>
          <w:tcPr>
            <w:tcW w:type="dxa" w:w="1417"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sz w:val="16"/>
              </w:rPr>
              <w:t>8,706,843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2F5F8"/>
          </w:tcPr>
          <w:p>
            <w:pPr>
              <w:keepNext/>
              <w:spacing w:after="20" w:before="20" w:line="240" w:lineRule="auto"/>
              <w:jc w:val="left"/>
            </w:pPr>
            <w:r/>
            <w:r>
              <w:rPr>
                <w:sz w:val="16"/>
              </w:rPr>
              <w:t>2012</w:t>
            </w:r>
          </w:p>
        </w:tc>
        <w:tc>
          <w:tcPr>
            <w:tcW w:type="dxa" w:w="4876"/>
            <w:shd w:val="clear" w:color="auto" w:fill="F2F5F8"/>
          </w:tcPr>
          <w:p>
            <w:pPr>
              <w:keepNext/>
              <w:spacing w:after="20" w:before="20" w:line="240" w:lineRule="auto"/>
              <w:jc w:val="left"/>
            </w:pPr>
            <w:r/>
            <w:r>
              <w:rPr>
                <w:sz w:val="16"/>
              </w:rPr>
              <w:t>DatosAbiertos_DECEyEC_ConteosCensales2012.zip</w:t>
            </w:r>
          </w:p>
        </w:tc>
        <w:tc>
          <w:tcPr>
            <w:tcW w:type="dxa" w:w="1134"/>
            <w:shd w:val="clear" w:color="auto" w:fill="F2F5F8"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sz w:val="16"/>
              </w:rPr>
              <w:t>39.5 MB</w:t>
            </w:r>
          </w:p>
        </w:tc>
        <w:tc>
          <w:tcPr>
            <w:tcW w:type="dxa" w:w="1191"/>
            <w:shd w:val="clear" w:color="auto" w:fill="F2F5F8"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sz w:val="16"/>
              </w:rPr>
              <w:t>32</w:t>
            </w:r>
          </w:p>
        </w:tc>
        <w:tc>
          <w:tcPr>
            <w:tcW w:type="dxa" w:w="1417"/>
            <w:shd w:val="clear" w:color="auto" w:fill="F2F5F8"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sz w:val="16"/>
              </w:rPr>
              <w:t>8,604,456</w:t>
            </w:r>
          </w:p>
        </w:tc>
      </w:tr>
      <w:tr>
        <w:trPr>
          <w:cantSplit w:val="true"/>
        </w:trPr>
        <w:tc>
          <w:tcPr>
            <w:tcW w:type="dxa" w:w="737"/>
          </w:tcPr>
          <w:p>
            <w:pPr>
              <w:keepNext/>
              <w:spacing w:after="20" w:before="20" w:line="240" w:lineRule="auto"/>
              <w:jc w:val="left"/>
            </w:pPr>
            <w:r/>
            <w:r>
              <w:rPr>
                <w:sz w:val="16"/>
              </w:rPr>
              <w:t>2015</w:t>
            </w:r>
          </w:p>
        </w:tc>
        <w:tc>
          <w:tcPr>
            <w:tcW w:type="dxa" w:w="4876"/>
          </w:tcPr>
          <w:p>
            <w:pPr>
              <w:keepNext/>
              <w:spacing w:after="20" w:before="20" w:line="240" w:lineRule="auto"/>
              <w:jc w:val="left"/>
            </w:pPr>
            <w:r/>
            <w:r>
              <w:rPr>
                <w:sz w:val="16"/>
              </w:rPr>
              <w:t>DatosAbiertos_DECEyEC_ConteosCensales2015.zip</w:t>
            </w:r>
          </w:p>
        </w:tc>
        <w:tc>
          <w:tcPr>
            <w:tcW w:type="dxa" w:w="1134"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sz w:val="16"/>
              </w:rPr>
              <w:t>42.6 MB</w:t>
            </w:r>
          </w:p>
        </w:tc>
        <w:tc>
          <w:tcPr>
            <w:tcW w:type="dxa" w:w="1191"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sz w:val="16"/>
              </w:rPr>
              <w:t>32</w:t>
            </w:r>
          </w:p>
        </w:tc>
        <w:tc>
          <w:tcPr>
            <w:tcW w:type="dxa" w:w="1417"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sz w:val="16"/>
              </w:rPr>
              <w:t>9,106,059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2F5F8"/>
          </w:tcPr>
          <w:p>
            <w:pPr>
              <w:keepNext/>
              <w:spacing w:after="20" w:before="20" w:line="240" w:lineRule="auto"/>
              <w:jc w:val="left"/>
            </w:pPr>
            <w:r/>
            <w:r>
              <w:rPr>
                <w:sz w:val="16"/>
              </w:rPr>
              <w:t>2018</w:t>
            </w:r>
          </w:p>
        </w:tc>
        <w:tc>
          <w:tcPr>
            <w:tcW w:type="dxa" w:w="4876"/>
            <w:shd w:val="clear" w:color="auto" w:fill="F2F5F8"/>
          </w:tcPr>
          <w:p>
            <w:pPr>
              <w:keepNext/>
              <w:spacing w:after="20" w:before="20" w:line="240" w:lineRule="auto"/>
              <w:jc w:val="left"/>
            </w:pPr>
            <w:r/>
            <w:r>
              <w:rPr>
                <w:sz w:val="16"/>
              </w:rPr>
              <w:t>DatosAbiertos_DECEyEC_ConteosCensales2018.zip</w:t>
            </w:r>
          </w:p>
        </w:tc>
        <w:tc>
          <w:tcPr>
            <w:tcW w:type="dxa" w:w="1134"/>
            <w:shd w:val="clear" w:color="auto" w:fill="F2F5F8"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sz w:val="16"/>
              </w:rPr>
              <w:t>43.4 MB</w:t>
            </w:r>
          </w:p>
        </w:tc>
        <w:tc>
          <w:tcPr>
            <w:tcW w:type="dxa" w:w="1191"/>
            <w:shd w:val="clear" w:color="auto" w:fill="F2F5F8"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sz w:val="16"/>
              </w:rPr>
              <w:t>32</w:t>
            </w:r>
          </w:p>
        </w:tc>
        <w:tc>
          <w:tcPr>
            <w:tcW w:type="dxa" w:w="1417"/>
            <w:shd w:val="clear" w:color="auto" w:fill="F2F5F8"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sz w:val="16"/>
              </w:rPr>
              <w:t>9,251,122</w:t>
            </w:r>
          </w:p>
        </w:tc>
      </w:tr>
      <w:tr>
        <w:trPr>
          <w:cantSplit w:val="true"/>
        </w:trPr>
        <w:tc>
          <w:tcPr>
            <w:tcW w:type="dxa" w:w="737"/>
          </w:tcPr>
          <w:p>
            <w:pPr>
              <w:keepNext/>
              <w:spacing w:after="20" w:before="20" w:line="240" w:lineRule="auto"/>
              <w:jc w:val="left"/>
            </w:pPr>
            <w:r/>
            <w:r>
              <w:rPr>
                <w:sz w:val="16"/>
              </w:rPr>
              <w:t>2021</w:t>
            </w:r>
          </w:p>
        </w:tc>
        <w:tc>
          <w:tcPr>
            <w:tcW w:type="dxa" w:w="4876"/>
          </w:tcPr>
          <w:p>
            <w:pPr>
              <w:keepNext/>
              <w:spacing w:after="20" w:before="20" w:line="240" w:lineRule="auto"/>
              <w:jc w:val="left"/>
            </w:pPr>
            <w:r/>
            <w:r>
              <w:rPr>
                <w:sz w:val="16"/>
              </w:rPr>
              <w:t>DatosAbiertos_DECEyEC_ConteosCensales2021.zip</w:t>
            </w:r>
          </w:p>
        </w:tc>
        <w:tc>
          <w:tcPr>
            <w:tcW w:type="dxa" w:w="1134"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sz w:val="16"/>
              </w:rPr>
              <w:t>44.4 MB</w:t>
            </w:r>
          </w:p>
        </w:tc>
        <w:tc>
          <w:tcPr>
            <w:tcW w:type="dxa" w:w="1191"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sz w:val="16"/>
              </w:rPr>
              <w:t>32</w:t>
            </w:r>
          </w:p>
        </w:tc>
        <w:tc>
          <w:tcPr>
            <w:tcW w:type="dxa" w:w="1417"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sz w:val="16"/>
              </w:rPr>
              <w:t>9,430,502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2F5F8"/>
          </w:tcPr>
          <w:p>
            <w:pPr>
              <w:keepNext/>
              <w:spacing w:after="20" w:before="20" w:line="240" w:lineRule="auto"/>
              <w:jc w:val="left"/>
            </w:pPr>
            <w:r/>
            <w:r>
              <w:rPr>
                <w:sz w:val="16"/>
              </w:rPr>
              <w:t>2024</w:t>
            </w:r>
          </w:p>
        </w:tc>
        <w:tc>
          <w:tcPr>
            <w:tcW w:type="dxa" w:w="4876"/>
            <w:shd w:val="clear" w:color="auto" w:fill="F2F5F8"/>
          </w:tcPr>
          <w:p>
            <w:pPr>
              <w:keepNext/>
              <w:spacing w:after="20" w:before="20" w:line="240" w:lineRule="auto"/>
              <w:jc w:val="left"/>
            </w:pPr>
            <w:r/>
            <w:r>
              <w:rPr>
                <w:sz w:val="16"/>
              </w:rPr>
              <w:t>DatosAbiertos_DECEyEC_ConteosCensales2024.zip</w:t>
            </w:r>
          </w:p>
        </w:tc>
        <w:tc>
          <w:tcPr>
            <w:tcW w:type="dxa" w:w="1134"/>
            <w:shd w:val="clear" w:color="auto" w:fill="F2F5F8"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sz w:val="16"/>
              </w:rPr>
              <w:t>82.4 MB</w:t>
            </w:r>
          </w:p>
        </w:tc>
        <w:tc>
          <w:tcPr>
            <w:tcW w:type="dxa" w:w="1191"/>
            <w:shd w:val="clear" w:color="auto" w:fill="F2F5F8"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sz w:val="16"/>
              </w:rPr>
              <w:t>32</w:t>
            </w:r>
          </w:p>
        </w:tc>
        <w:tc>
          <w:tcPr>
            <w:tcW w:type="dxa" w:w="1417"/>
            <w:shd w:val="clear" w:color="auto" w:fill="F2F5F8"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sz w:val="16"/>
              </w:rPr>
              <w:t>9,773,730</w:t>
            </w:r>
          </w:p>
        </w:tc>
      </w:tr>
    </w:tbl>
    <w:p>
      <w:pPr>
        <w:spacing w:after="160" w:line="264" w:lineRule="auto"/>
        <w:jc w:val="left"/>
      </w:pPr>
      <w:r>
        <w:rPr>
          <w:b w:val="0"/>
          <w:color w:val="7D8894"/>
          <w:sz w:val="17"/>
        </w:rPr>
        <w:t>Cada archivo se descarga de ine.mx/wp-content/uploads/…; las direcciones completas están en data/raw/bitacora_extraccion.csv del repositorio.</w:t>
      </w:r>
    </w:p>
    <w:p>
      <w:pPr>
        <w:pStyle w:val="Heading2"/>
      </w:pPr>
      <w:r>
        <w:t>1.2 Procesamiento y definiciones</w:t>
      </w:r>
    </w:p>
    <w:p>
      <w:pPr>
        <w:spacing w:after="100"/>
        <w:jc w:val="both"/>
      </w:pPr>
      <w:r>
        <w:rPr>
          <w:b w:val="0"/>
        </w:rPr>
        <w:t xml:space="preserve">Los registros se agregaron a la </w:t>
      </w:r>
      <w:r>
        <w:rPr>
          <w:b/>
        </w:rPr>
        <w:t>celda analítica</w:t>
      </w:r>
      <w:r>
        <w:rPr>
          <w:b w:val="0"/>
        </w:rPr>
        <w:t>: año × entidad × tipo de sección (urbana, mixta, rural) × sexo × grupo de edad (18–19, 20–29, …, 70+), lo que produce 8,106 celdas. Se usan las definiciones de la propia plataforma:</w:t>
      </w:r>
    </w:p>
    <w:p>
      <w:pPr>
        <w:spacing w:after="80" w:line="288" w:lineRule="auto"/>
        <w:jc w:val="center"/>
      </w:pPr>
      <w:r>
        <w:rPr>
          <w:rFonts w:ascii="Cambria Math" w:hAnsi="Cambria Math"/>
          <w:i/>
          <w:sz w:val="23"/>
        </w:rPr>
        <w:t>Participación (%) = SV / (SV + NV) × 100          Abstención (%) = 100 − Participación</w:t>
      </w:r>
    </w:p>
    <w:p>
      <w:pPr>
        <w:spacing w:after="100"/>
        <w:jc w:val="both"/>
      </w:pPr>
      <w:r>
        <w:rPr>
          <w:b w:val="0"/>
        </w:rPr>
        <w:t>Los registros NS (cuadernillos sin marcas o no disponibles) se excluyen del denominador. La validación automática verifica que cada año tenga las 32 entidades, que en todas las celdas se cumpla LN = SV + NV + NS, que no haya valores negativos y que la base final no tenga celdas vacías. La Tabla 5 reproduce los totales nacionales resultantes.</w:t>
      </w:r>
    </w:p>
    <w:p>
      <w:pPr>
        <w:keepNext/>
        <w:spacing w:after="40" w:line="264" w:lineRule="auto"/>
        <w:jc w:val="left"/>
      </w:pPr>
      <w:r>
        <w:rPr>
          <w:b/>
          <w:sz w:val="19"/>
        </w:rPr>
        <w:t>Tabla 5.</w:t>
      </w:r>
      <w:r>
        <w:rPr>
          <w:b w:val="0"/>
          <w:sz w:val="19"/>
        </w:rPr>
        <w:t xml:space="preserve"> Totales nacionales validados de la CCPC, 2009–2024</w:t>
      </w:r>
    </w:p>
    <w:tbl>
      <w:tblPr>
        <w:tblW w:type="dxa" w:w="9298"/>
        <w:jc w:val="center"/>
        <w:tblLayout w:type="fixed"/>
        <w:tblLook w:firstColumn="1" w:firstRow="1" w:lastColumn="0" w:lastRow="0" w:noHBand="0" w:noVBand="1" w:val="04A0"/>
        <w:tblBorders>
          <w:top w:val="single" w:sz="4" w:color="D5DCE3"/>
          <w:bottom w:val="single" w:sz="4" w:color="D5DCE3"/>
          <w:insideH w:val="single" w:sz="4" w:color="D5DCE3"/>
          <w:left w:val="nil"/>
          <w:right w:val="nil"/>
          <w:insideV w:val="nil"/>
        </w:tblBorders>
        <w:tblLayout w:type="fixed"/>
      </w:tblPr>
      <w:tblGrid>
        <w:gridCol w:w="1247"/>
        <w:gridCol w:w="2494"/>
        <w:gridCol w:w="1927"/>
        <w:gridCol w:w="1814"/>
        <w:gridCol w:w="1814"/>
      </w:tblGrid>
      <w:tr>
        <w:trPr>
          <w:cantSplit w:val="true"/>
          <w:tblHeader w:val="true"/>
        </w:trPr>
        <w:tc>
          <w:tcPr>
            <w:tcW w:type="dxa" w:w="1247"/>
            <w:shd w:val="clear" w:color="auto" w:fill="23395B"/>
          </w:tcPr>
          <w:p>
            <w:pPr>
              <w:keepNext/>
              <w:spacing w:after="20" w:before="20" w:line="240" w:lineRule="auto"/>
              <w:jc w:val="left"/>
            </w:pPr>
            <w:r/>
            <w:r>
              <w:rPr>
                <w:b/>
                <w:color w:val="FFFFFF"/>
                <w:sz w:val="17"/>
              </w:rPr>
              <w:t>Año</w:t>
            </w:r>
          </w:p>
        </w:tc>
        <w:tc>
          <w:tcPr>
            <w:tcW w:type="dxa" w:w="2494"/>
            <w:shd w:val="clear" w:color="auto" w:fill="23395B"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b/>
                <w:color w:val="FFFFFF"/>
                <w:sz w:val="17"/>
              </w:rPr>
              <w:t>Lista nominal (CCPC)</w:t>
            </w:r>
          </w:p>
        </w:tc>
        <w:tc>
          <w:tcPr>
            <w:tcW w:type="dxa" w:w="1928"/>
            <w:shd w:val="clear" w:color="auto" w:fill="23395B"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1814"/>
            <w:shd w:val="clear" w:color="auto" w:fill="23395B"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b/>
                <w:color w:val="FFFFFF"/>
                <w:sz w:val="17"/>
              </w:rPr>
              <w:t>Participación</w:t>
            </w:r>
          </w:p>
        </w:tc>
        <w:tc>
          <w:tcPr>
            <w:tcW w:type="dxa" w:w="1814"/>
            <w:shd w:val="clear" w:color="auto" w:fill="23395B"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b/>
                <w:color w:val="FFFFFF"/>
                <w:sz w:val="17"/>
              </w:rPr>
              <w:t>Abstención</w:t>
            </w:r>
          </w:p>
        </w:tc>
      </w:tr>
      <w:tr>
        <w:trPr>
          <w:cantSplit w:val="true"/>
        </w:trPr>
        <w:tc>
          <w:tcPr>
            <w:tcW w:type="dxa" w:w="1247"/>
          </w:tcPr>
          <w:p>
            <w:pPr>
              <w:keepNext/>
              <w:spacing w:after="20" w:before="20" w:line="240" w:lineRule="auto"/>
              <w:jc w:val="left"/>
            </w:pPr>
            <w:r/>
            <w:r>
              <w:rPr>
                <w:sz w:val="17"/>
              </w:rPr>
              <w:t>2009</w:t>
            </w:r>
          </w:p>
        </w:tc>
        <w:tc>
          <w:tcPr>
            <w:tcW w:type="dxa" w:w="2494"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sz w:val="17"/>
              </w:rPr>
              <w:t>77,481,831</w:t>
            </w:r>
          </w:p>
        </w:tc>
        <w:tc>
          <w:tcPr>
            <w:tcW w:type="dxa" w:w="1928"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sz w:val="17"/>
              </w:rPr>
              <w:t>Intermedia</w:t>
            </w:r>
          </w:p>
        </w:tc>
        <w:tc>
          <w:tcPr>
            <w:tcW w:type="dxa" w:w="1814"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sz w:val="17"/>
              </w:rPr>
              <w:t>44.06%</w:t>
            </w:r>
          </w:p>
        </w:tc>
        <w:tc>
          <w:tcPr>
            <w:tcW w:type="dxa" w:w="1814"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sz w:val="17"/>
              </w:rPr>
              <w:t>55.94%</w:t>
            </w:r>
          </w:p>
        </w:tc>
      </w:tr>
      <w:tr>
        <w:trPr>
          <w:cantSplit w:val="true"/>
        </w:trPr>
        <w:tc>
          <w:tcPr>
            <w:tcW w:type="dxa" w:w="1247"/>
            <w:shd w:val="clear" w:color="auto" w:fill="F2F5F8"/>
          </w:tcPr>
          <w:p>
            <w:pPr>
              <w:keepNext/>
              <w:spacing w:after="20" w:before="20" w:line="240" w:lineRule="auto"/>
              <w:jc w:val="left"/>
            </w:pPr>
            <w:r/>
            <w:r>
              <w:rPr>
                <w:sz w:val="17"/>
              </w:rPr>
              <w:t>2012</w:t>
            </w:r>
          </w:p>
        </w:tc>
        <w:tc>
          <w:tcPr>
            <w:tcW w:type="dxa" w:w="2494"/>
            <w:shd w:val="clear" w:color="auto" w:fill="F2F5F8"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sz w:val="17"/>
              </w:rPr>
              <w:t>76,490,962</w:t>
            </w:r>
          </w:p>
        </w:tc>
        <w:tc>
          <w:tcPr>
            <w:tcW w:type="dxa" w:w="1928"/>
            <w:shd w:val="clear" w:color="auto" w:fill="F2F5F8"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sz w:val="17"/>
              </w:rPr>
              <w:t>Presidencial</w:t>
            </w:r>
          </w:p>
        </w:tc>
        <w:tc>
          <w:tcPr>
            <w:tcW w:type="dxa" w:w="1814"/>
            <w:shd w:val="clear" w:color="auto" w:fill="F2F5F8"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sz w:val="17"/>
              </w:rPr>
              <w:t>62.08%</w:t>
            </w:r>
          </w:p>
        </w:tc>
        <w:tc>
          <w:tcPr>
            <w:tcW w:type="dxa" w:w="1814"/>
            <w:shd w:val="clear" w:color="auto" w:fill="F2F5F8"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sz w:val="17"/>
              </w:rPr>
              <w:t>37.92%</w:t>
            </w:r>
          </w:p>
        </w:tc>
      </w:tr>
      <w:tr>
        <w:trPr>
          <w:cantSplit w:val="true"/>
        </w:trPr>
        <w:tc>
          <w:tcPr>
            <w:tcW w:type="dxa" w:w="1247"/>
          </w:tcPr>
          <w:p>
            <w:pPr>
              <w:keepNext/>
              <w:spacing w:after="20" w:before="20" w:line="240" w:lineRule="auto"/>
              <w:jc w:val="left"/>
            </w:pPr>
            <w:r/>
            <w:r>
              <w:rPr>
                <w:sz w:val="17"/>
              </w:rPr>
              <w:t>2015</w:t>
            </w:r>
          </w:p>
        </w:tc>
        <w:tc>
          <w:tcPr>
            <w:tcW w:type="dxa" w:w="2494"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sz w:val="17"/>
              </w:rPr>
              <w:t>83,563,462</w:t>
            </w:r>
          </w:p>
        </w:tc>
        <w:tc>
          <w:tcPr>
            <w:tcW w:type="dxa" w:w="1928"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sz w:val="17"/>
              </w:rPr>
              <w:t>Intermedia</w:t>
            </w:r>
          </w:p>
        </w:tc>
        <w:tc>
          <w:tcPr>
            <w:tcW w:type="dxa" w:w="1814"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sz w:val="17"/>
              </w:rPr>
              <w:t>47.07%</w:t>
            </w:r>
          </w:p>
        </w:tc>
        <w:tc>
          <w:tcPr>
            <w:tcW w:type="dxa" w:w="1814"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sz w:val="17"/>
              </w:rPr>
              <w:t>52.93%</w:t>
            </w:r>
          </w:p>
        </w:tc>
      </w:tr>
      <w:tr>
        <w:trPr>
          <w:cantSplit w:val="true"/>
        </w:trPr>
        <w:tc>
          <w:tcPr>
            <w:tcW w:type="dxa" w:w="1247"/>
            <w:shd w:val="clear" w:color="auto" w:fill="F2F5F8"/>
          </w:tcPr>
          <w:p>
            <w:pPr>
              <w:keepNext/>
              <w:spacing w:after="20" w:before="20" w:line="240" w:lineRule="auto"/>
              <w:jc w:val="left"/>
            </w:pPr>
            <w:r/>
            <w:r>
              <w:rPr>
                <w:sz w:val="17"/>
              </w:rPr>
              <w:t>2018</w:t>
            </w:r>
          </w:p>
        </w:tc>
        <w:tc>
          <w:tcPr>
            <w:tcW w:type="dxa" w:w="2494"/>
            <w:shd w:val="clear" w:color="auto" w:fill="F2F5F8"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sz w:val="17"/>
              </w:rPr>
              <w:t>89,123,997</w:t>
            </w:r>
          </w:p>
        </w:tc>
        <w:tc>
          <w:tcPr>
            <w:tcW w:type="dxa" w:w="1928"/>
            <w:shd w:val="clear" w:color="auto" w:fill="F2F5F8"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sz w:val="17"/>
              </w:rPr>
              <w:t>Presidencial</w:t>
            </w:r>
          </w:p>
        </w:tc>
        <w:tc>
          <w:tcPr>
            <w:tcW w:type="dxa" w:w="1814"/>
            <w:shd w:val="clear" w:color="auto" w:fill="F2F5F8"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sz w:val="17"/>
              </w:rPr>
              <w:t>62.37%</w:t>
            </w:r>
          </w:p>
        </w:tc>
        <w:tc>
          <w:tcPr>
            <w:tcW w:type="dxa" w:w="1814"/>
            <w:shd w:val="clear" w:color="auto" w:fill="F2F5F8"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sz w:val="17"/>
              </w:rPr>
              <w:t>37.63%</w:t>
            </w:r>
          </w:p>
        </w:tc>
      </w:tr>
      <w:tr>
        <w:trPr>
          <w:cantSplit w:val="true"/>
        </w:trPr>
        <w:tc>
          <w:tcPr>
            <w:tcW w:type="dxa" w:w="1247"/>
          </w:tcPr>
          <w:p>
            <w:pPr>
              <w:keepNext/>
              <w:spacing w:after="20" w:before="20" w:line="240" w:lineRule="auto"/>
              <w:jc w:val="left"/>
            </w:pPr>
            <w:r/>
            <w:r>
              <w:rPr>
                <w:sz w:val="17"/>
              </w:rPr>
              <w:t>2021</w:t>
            </w:r>
          </w:p>
        </w:tc>
        <w:tc>
          <w:tcPr>
            <w:tcW w:type="dxa" w:w="2494"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sz w:val="17"/>
              </w:rPr>
              <w:t>93,532,133</w:t>
            </w:r>
          </w:p>
        </w:tc>
        <w:tc>
          <w:tcPr>
            <w:tcW w:type="dxa" w:w="1928"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sz w:val="17"/>
              </w:rPr>
              <w:t>Intermedia</w:t>
            </w:r>
          </w:p>
        </w:tc>
        <w:tc>
          <w:tcPr>
            <w:tcW w:type="dxa" w:w="1814"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sz w:val="17"/>
              </w:rPr>
              <w:t>51.84%</w:t>
            </w:r>
          </w:p>
        </w:tc>
        <w:tc>
          <w:tcPr>
            <w:tcW w:type="dxa" w:w="1814"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sz w:val="17"/>
              </w:rPr>
              <w:t>48.16%</w:t>
            </w:r>
          </w:p>
        </w:tc>
      </w:tr>
      <w:tr>
        <w:trPr>
          <w:cantSplit w:val="true"/>
        </w:trPr>
        <w:tc>
          <w:tcPr>
            <w:tcW w:type="dxa" w:w="1247"/>
            <w:shd w:val="clear" w:color="auto" w:fill="F2F5F8"/>
          </w:tcPr>
          <w:p>
            <w:pPr>
              <w:keepNext/>
              <w:spacing w:after="20" w:before="20" w:line="240" w:lineRule="auto"/>
              <w:jc w:val="left"/>
            </w:pPr>
            <w:r/>
            <w:r>
              <w:rPr>
                <w:sz w:val="17"/>
              </w:rPr>
              <w:t>2024</w:t>
            </w:r>
          </w:p>
        </w:tc>
        <w:tc>
          <w:tcPr>
            <w:tcW w:type="dxa" w:w="2494"/>
            <w:shd w:val="clear" w:color="auto" w:fill="F2F5F8"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sz w:val="17"/>
              </w:rPr>
              <w:t>98,330,348</w:t>
            </w:r>
          </w:p>
        </w:tc>
        <w:tc>
          <w:tcPr>
            <w:tcW w:type="dxa" w:w="1928"/>
            <w:shd w:val="clear" w:color="auto" w:fill="F2F5F8"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sz w:val="17"/>
              </w:rPr>
              <w:t>Presidencial</w:t>
            </w:r>
          </w:p>
        </w:tc>
        <w:tc>
          <w:tcPr>
            <w:tcW w:type="dxa" w:w="1814"/>
            <w:shd w:val="clear" w:color="auto" w:fill="F2F5F8"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sz w:val="17"/>
              </w:rPr>
              <w:t>59.67%</w:t>
            </w:r>
          </w:p>
        </w:tc>
        <w:tc>
          <w:tcPr>
            <w:tcW w:type="dxa" w:w="1814"/>
            <w:shd w:val="clear" w:color="auto" w:fill="F2F5F8"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sz w:val="17"/>
              </w:rPr>
              <w:t>40.33%</w:t>
            </w:r>
          </w:p>
        </w:tc>
      </w:tr>
    </w:tbl>
    <w:p>
      <w:pPr>
        <w:spacing w:after="160" w:line="264" w:lineRule="auto"/>
        <w:jc w:val="left"/>
      </w:pPr>
      <w:r>
        <w:rPr>
          <w:b w:val="0"/>
          <w:color w:val="7D8894"/>
          <w:sz w:val="17"/>
        </w:rPr>
        <w:t>Definición oficial de la CCPC. Las proyecciones nacionales 2027 y 2030 promedian las entidades ponderadas por su lista nominal; con esa misma ponderación, 2024 daría 40.39%.</w:t>
      </w:r>
    </w:p>
    <w:p>
      <w:pPr>
        <w:pStyle w:val="Heading2"/>
      </w:pPr>
      <w:r>
        <w:t>1.3 Variables y entregables de datos</w:t>
      </w:r>
    </w:p>
    <w:p>
      <w:pPr>
        <w:keepNext/>
        <w:spacing w:after="40" w:line="264" w:lineRule="auto"/>
        <w:jc w:val="left"/>
      </w:pPr>
      <w:r>
        <w:rPr>
          <w:b/>
          <w:sz w:val="19"/>
        </w:rPr>
        <w:t>Tabla 6.</w:t>
      </w:r>
      <w:r>
        <w:rPr>
          <w:b w:val="0"/>
          <w:sz w:val="19"/>
        </w:rPr>
        <w:t xml:space="preserve"> Resumen del diccionario de la base maestra (107 columnas, 32 entidades, 0 celdas vacías)</w:t>
      </w:r>
    </w:p>
    <w:tbl>
      <w:tblPr>
        <w:tblW w:type="dxa" w:w="9355"/>
        <w:jc w:val="center"/>
        <w:tblLayout w:type="fixed"/>
        <w:tblLook w:firstColumn="1" w:firstRow="1" w:lastColumn="0" w:lastRow="0" w:noHBand="0" w:noVBand="1" w:val="04A0"/>
        <w:tblBorders>
          <w:top w:val="single" w:sz="4" w:color="D5DCE3"/>
          <w:bottom w:val="single" w:sz="4" w:color="D5DCE3"/>
          <w:insideH w:val="single" w:sz="4" w:color="D5DCE3"/>
          <w:left w:val="nil"/>
          <w:right w:val="nil"/>
          <w:insideV w:val="nil"/>
        </w:tblBorders>
        <w:tblLayout w:type="fixed"/>
      </w:tblPr>
      <w:tblGrid>
        <w:gridCol w:w="1701"/>
        <w:gridCol w:w="4762"/>
        <w:gridCol w:w="1871"/>
        <w:gridCol w:w="1020"/>
      </w:tblGrid>
      <w:tr>
        <w:trPr>
          <w:cantSplit w:val="true"/>
          <w:tblHeader w:val="true"/>
        </w:trPr>
        <w:tc>
          <w:tcPr>
            <w:tcW w:type="dxa" w:w="1701"/>
            <w:shd w:val="clear" w:color="auto" w:fill="23395B"/>
          </w:tcPr>
          <w:p>
            <w:pPr>
              <w:keepNext/>
              <w:spacing w:after="20" w:before="20" w:line="240" w:lineRule="auto"/>
              <w:jc w:val="left"/>
            </w:pPr>
            <w:r/>
            <w:r>
              <w:rPr>
                <w:b/>
                <w:color w:val="FFFFFF"/>
                <w:sz w:val="17"/>
              </w:rPr>
              <w:t>Grupo</w:t>
            </w:r>
          </w:p>
        </w:tc>
        <w:tc>
          <w:tcPr>
            <w:tcW w:type="dxa" w:w="4762"/>
            <w:shd w:val="clear" w:color="auto" w:fill="23395B"/>
          </w:tcPr>
          <w:p>
            <w:pPr>
              <w:keepNext/>
              <w:spacing w:after="20" w:before="20" w:line="240" w:lineRule="auto"/>
              <w:jc w:val="left"/>
            </w:pPr>
            <w:r/>
            <w:r>
              <w:rPr>
                <w:b/>
                <w:color w:val="FFFFFF"/>
                <w:sz w:val="17"/>
              </w:rPr>
              <w:t>Contenido</w:t>
            </w:r>
          </w:p>
        </w:tc>
        <w:tc>
          <w:tcPr>
            <w:tcW w:type="dxa" w:w="1871"/>
            <w:shd w:val="clear" w:color="auto" w:fill="23395B"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b/>
                <w:color w:val="FFFFFF"/>
                <w:sz w:val="17"/>
              </w:rPr>
              <w:t>Fuente</w:t>
            </w:r>
          </w:p>
        </w:tc>
        <w:tc>
          <w:tcPr>
            <w:tcW w:type="dxa" w:w="1020"/>
            <w:shd w:val="clear" w:color="auto" w:fill="23395B"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b/>
                <w:color w:val="FFFFFF"/>
                <w:sz w:val="17"/>
              </w:rPr>
              <w:t>Variables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keepNext/>
              <w:spacing w:after="20" w:before="20" w:line="240" w:lineRule="auto"/>
              <w:jc w:val="left"/>
            </w:pPr>
            <w:r/>
            <w:r>
              <w:rPr>
                <w:sz w:val="17"/>
              </w:rPr>
              <w:t>Serie histórica</w:t>
            </w:r>
          </w:p>
        </w:tc>
        <w:tc>
          <w:tcPr>
            <w:tcW w:type="dxa" w:w="4762"/>
          </w:tcPr>
          <w:p>
            <w:pPr>
              <w:keepNext/>
              <w:spacing w:after="20" w:before="20" w:line="240" w:lineRule="auto"/>
              <w:jc w:val="left"/>
            </w:pPr>
            <w:r/>
            <w:r>
              <w:rPr>
                <w:sz w:val="17"/>
              </w:rPr>
              <w:t>LN, votantes, abstenciones, participación y abstención 2009–2024</w:t>
            </w:r>
          </w:p>
        </w:tc>
        <w:tc>
          <w:tcPr>
            <w:tcW w:type="dxa" w:w="1871"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sz w:val="17"/>
              </w:rPr>
              <w:t>CCPC</w:t>
            </w:r>
          </w:p>
        </w:tc>
        <w:tc>
          <w:tcPr>
            <w:tcW w:type="dxa" w:w="1020"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sz w:val="17"/>
              </w:rPr>
              <w:t>36</w:t>
            </w:r>
          </w:p>
        </w:tc>
      </w:tr>
      <w:tr>
        <w:trPr>
          <w:cantSplit w:val="true"/>
        </w:trPr>
        <w:tc>
          <w:tcPr>
            <w:tcW w:type="dxa" w:w="1701"/>
            <w:shd w:val="clear" w:color="auto" w:fill="F2F5F8"/>
          </w:tcPr>
          <w:p>
            <w:pPr>
              <w:keepNext/>
              <w:spacing w:after="20" w:before="20" w:line="240" w:lineRule="auto"/>
              <w:jc w:val="left"/>
            </w:pPr>
            <w:r/>
            <w:r>
              <w:rPr>
                <w:sz w:val="17"/>
              </w:rPr>
              <w:t>Contexto electoral</w:t>
            </w:r>
          </w:p>
        </w:tc>
        <w:tc>
          <w:tcPr>
            <w:tcW w:type="dxa" w:w="4762"/>
            <w:shd w:val="clear" w:color="auto" w:fill="F2F5F8"/>
          </w:tcPr>
          <w:p>
            <w:pPr>
              <w:keepNext/>
              <w:spacing w:after="20" w:before="20" w:line="240" w:lineRule="auto"/>
              <w:jc w:val="left"/>
            </w:pPr>
            <w:r/>
            <w:r>
              <w:rPr>
                <w:sz w:val="17"/>
              </w:rPr>
              <w:t>Gubernatura concurrente por año (2009–2030)</w:t>
            </w:r>
          </w:p>
        </w:tc>
        <w:tc>
          <w:tcPr>
            <w:tcW w:type="dxa" w:w="1871"/>
            <w:shd w:val="clear" w:color="auto" w:fill="F2F5F8"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sz w:val="17"/>
              </w:rPr>
              <w:t>Calendario electoral</w:t>
            </w:r>
          </w:p>
        </w:tc>
        <w:tc>
          <w:tcPr>
            <w:tcW w:type="dxa" w:w="1020"/>
            <w:shd w:val="clear" w:color="auto" w:fill="F2F5F8"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sz w:val="17"/>
              </w:rPr>
              <w:t>7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keepNext/>
              <w:spacing w:after="20" w:before="20" w:line="240" w:lineRule="auto"/>
              <w:jc w:val="left"/>
            </w:pPr>
            <w:r/>
            <w:r>
              <w:rPr>
                <w:sz w:val="17"/>
              </w:rPr>
              <w:t>Ciclo y tendencia</w:t>
            </w:r>
          </w:p>
        </w:tc>
        <w:tc>
          <w:tcPr>
            <w:tcW w:type="dxa" w:w="4762"/>
          </w:tcPr>
          <w:p>
            <w:pPr>
              <w:keepNext/>
              <w:spacing w:after="20" w:before="20" w:line="240" w:lineRule="auto"/>
              <w:jc w:val="left"/>
            </w:pPr>
            <w:r/>
            <w:r>
              <w:rPr>
                <w:sz w:val="17"/>
              </w:rPr>
              <w:t>Caída al pasar a intermedia; tendencia por tipo de elección</w:t>
            </w:r>
          </w:p>
        </w:tc>
        <w:tc>
          <w:tcPr>
            <w:tcW w:type="dxa" w:w="1871"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sz w:val="17"/>
              </w:rPr>
              <w:t>CCPC (derivadas)</w:t>
            </w:r>
          </w:p>
        </w:tc>
        <w:tc>
          <w:tcPr>
            <w:tcW w:type="dxa" w:w="1020"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sz w:val="17"/>
              </w:rPr>
              <w:t>4</w:t>
            </w:r>
          </w:p>
        </w:tc>
      </w:tr>
      <w:tr>
        <w:trPr>
          <w:cantSplit w:val="true"/>
        </w:trPr>
        <w:tc>
          <w:tcPr>
            <w:tcW w:type="dxa" w:w="1701"/>
            <w:shd w:val="clear" w:color="auto" w:fill="F2F5F8"/>
          </w:tcPr>
          <w:p>
            <w:pPr>
              <w:keepNext/>
              <w:spacing w:after="20" w:before="20" w:line="240" w:lineRule="auto"/>
              <w:jc w:val="left"/>
            </w:pPr>
            <w:r/>
            <w:r>
              <w:rPr>
                <w:sz w:val="17"/>
              </w:rPr>
              <w:t>Sociodemográficas</w:t>
            </w:r>
          </w:p>
        </w:tc>
        <w:tc>
          <w:tcPr>
            <w:tcW w:type="dxa" w:w="4762"/>
            <w:shd w:val="clear" w:color="auto" w:fill="F2F5F8"/>
          </w:tcPr>
          <w:p>
            <w:pPr>
              <w:keepNext/>
              <w:spacing w:after="20" w:before="20" w:line="240" w:lineRule="auto"/>
              <w:jc w:val="left"/>
            </w:pPr>
            <w:r/>
            <w:r>
              <w:rPr>
                <w:sz w:val="17"/>
              </w:rPr>
              <w:t>Participación por edad, sexo y tipo de sección; brechas; % de LN joven y rural (2021 y 2024)</w:t>
            </w:r>
          </w:p>
        </w:tc>
        <w:tc>
          <w:tcPr>
            <w:tcW w:type="dxa" w:w="1871"/>
            <w:shd w:val="clear" w:color="auto" w:fill="F2F5F8"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sz w:val="17"/>
              </w:rPr>
              <w:t>CCPC</w:t>
            </w:r>
          </w:p>
        </w:tc>
        <w:tc>
          <w:tcPr>
            <w:tcW w:type="dxa" w:w="1020"/>
            <w:shd w:val="clear" w:color="auto" w:fill="F2F5F8"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sz w:val="17"/>
              </w:rPr>
              <w:t>32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keepNext/>
              <w:spacing w:after="20" w:before="20" w:line="240" w:lineRule="auto"/>
              <w:jc w:val="left"/>
            </w:pPr>
            <w:r/>
            <w:r>
              <w:rPr>
                <w:sz w:val="17"/>
              </w:rPr>
              <w:t>Étnicas</w:t>
            </w:r>
          </w:p>
        </w:tc>
        <w:tc>
          <w:tcPr>
            <w:tcW w:type="dxa" w:w="4762"/>
          </w:tcPr>
          <w:p>
            <w:pPr>
              <w:keepNext/>
              <w:spacing w:after="20" w:before="20" w:line="240" w:lineRule="auto"/>
              <w:jc w:val="left"/>
            </w:pPr>
            <w:r/>
            <w:r>
              <w:rPr>
                <w:sz w:val="17"/>
              </w:rPr>
              <w:t>% hablante de lengua indígena, en hogares indígenas y afromexicana</w:t>
            </w:r>
          </w:p>
        </w:tc>
        <w:tc>
          <w:tcPr>
            <w:tcW w:type="dxa" w:w="1871"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sz w:val="17"/>
              </w:rPr>
              <w:t>Censo 2020 (INEGI)</w:t>
            </w:r>
          </w:p>
        </w:tc>
        <w:tc>
          <w:tcPr>
            <w:tcW w:type="dxa" w:w="1020"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sz w:val="17"/>
              </w:rPr>
              <w:t>3</w:t>
            </w:r>
          </w:p>
        </w:tc>
      </w:tr>
      <w:tr>
        <w:trPr>
          <w:cantSplit w:val="true"/>
        </w:trPr>
        <w:tc>
          <w:tcPr>
            <w:tcW w:type="dxa" w:w="1701"/>
            <w:shd w:val="clear" w:color="auto" w:fill="F2F5F8"/>
          </w:tcPr>
          <w:p>
            <w:pPr>
              <w:keepNext/>
              <w:spacing w:after="20" w:before="20" w:line="240" w:lineRule="auto"/>
              <w:jc w:val="left"/>
            </w:pPr>
            <w:r/>
            <w:r>
              <w:rPr>
                <w:sz w:val="17"/>
              </w:rPr>
              <w:t>Resultados del modelo</w:t>
            </w:r>
          </w:p>
        </w:tc>
        <w:tc>
          <w:tcPr>
            <w:tcW w:type="dxa" w:w="4762"/>
            <w:shd w:val="clear" w:color="auto" w:fill="F2F5F8"/>
          </w:tcPr>
          <w:p>
            <w:pPr>
              <w:keepNext/>
              <w:spacing w:after="20" w:before="20" w:line="240" w:lineRule="auto"/>
              <w:jc w:val="left"/>
            </w:pPr>
            <w:r/>
            <w:r>
              <w:rPr>
                <w:sz w:val="17"/>
              </w:rPr>
              <w:t>Escenarios 2027 y 2030, bandas, semáforos, personas recuperadas, segmentos</w:t>
            </w:r>
          </w:p>
        </w:tc>
        <w:tc>
          <w:tcPr>
            <w:tcW w:type="dxa" w:w="1871"/>
            <w:shd w:val="clear" w:color="auto" w:fill="F2F5F8"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sz w:val="17"/>
              </w:rPr>
              <w:t>Modelo del equipo</w:t>
            </w:r>
          </w:p>
        </w:tc>
        <w:tc>
          <w:tcPr>
            <w:tcW w:type="dxa" w:w="1020"/>
            <w:shd w:val="clear" w:color="auto" w:fill="F2F5F8"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sz w:val="17"/>
              </w:rPr>
              <w:t>25</w:t>
            </w:r>
          </w:p>
        </w:tc>
      </w:tr>
    </w:tbl>
    <w:p>
      <w:pPr>
        <w:spacing w:after="160" w:line="264" w:lineRule="auto"/>
        <w:jc w:val="left"/>
      </w:pPr>
      <w:r>
        <w:rPr>
          <w:b w:val="0"/>
          <w:color w:val="7D8894"/>
          <w:sz w:val="17"/>
        </w:rPr>
        <w:t>El diccionario completo está en la hoja «Diccionario» de Base_Datos_Anonimizada_CCPC_2009_2024.xlsx (carpeta 4_Base_Datos_Anonimizada).</w:t>
      </w:r>
    </w:p>
    <w:p>
      <w:pPr>
        <w:pStyle w:val="Heading2"/>
      </w:pPr>
      <w:r>
        <w:t>1.4 Garantía de privacidad</w:t>
      </w:r>
    </w:p>
    <w:p>
      <w:pPr>
        <w:spacing w:after="100"/>
        <w:jc w:val="both"/>
      </w:pPr>
      <w:r>
        <w:rPr>
          <w:b w:val="0"/>
        </w:rPr>
        <w:t>El proyecto no usa datos personales. Los archivos de la CCPC ya son agregados; nuestra unidad mínima de análisis agrega todavía más (todas las secciones de un mismo tipo dentro de la entidad), y la capa distrital se construye con totales de distrito. Ninguna salida permite identificar a una persona, una casilla o una sección individual.</w:t>
      </w:r>
    </w:p>
    <w:p>
      <w:pPr>
        <w:pStyle w:val="Heading1"/>
      </w:pPr>
      <w:r>
        <w:t>2. Diagnóstico histórico y sociodemográfico de la abstención</w:t>
      </w:r>
    </w:p>
    <w:p>
      <w:pPr>
        <w:pStyle w:val="Heading2"/>
      </w:pPr>
      <w:r>
        <w:t>2.1 El efecto ciclo: la abstención crece en cada intermedia</w:t>
      </w:r>
    </w:p>
    <w:p>
      <w:pPr>
        <w:spacing w:after="100"/>
        <w:jc w:val="both"/>
      </w:pPr>
      <w:r>
        <w:rPr>
          <w:b w:val="0"/>
        </w:rPr>
        <w:t xml:space="preserve">La serie nacional dibuja un “serrucho” (Figura 1): la abstención baja en las elecciones presidenciales y sube en las intermedias. En promedio, cada entidad pierde </w:t>
      </w:r>
      <w:r>
        <w:rPr>
          <w:b/>
        </w:rPr>
        <w:t>11.7 puntos de participación</w:t>
      </w:r>
      <w:r>
        <w:rPr>
          <w:b w:val="0"/>
        </w:rPr>
        <w:t xml:space="preserve"> al pasar de una presidencial a la intermedia siguiente (2012→2015 y 2018→2021). La tendencia de las intermedias es ascendente (de 44.1% en 2009 a 51.8% de participación en 2021), pero la caída de ciclo es lo bastante grande para que 2027, sin intervención, vuelva a niveles cercanos a la mitad del padrón.</w:t>
      </w:r>
    </w:p>
    <w:p>
      <w:pPr>
        <w:keepNext/>
        <w:spacing w:after="2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184000" cy="3110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serie_nacional_cicl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84000" cy="311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264" w:lineRule="auto"/>
        <w:jc w:val="center"/>
      </w:pPr>
      <w:r>
        <w:rPr>
          <w:b/>
          <w:color w:val="7D8894"/>
          <w:sz w:val="18"/>
        </w:rPr>
        <w:t>Figura 1.</w:t>
      </w:r>
      <w:r>
        <w:rPr>
          <w:b w:val="0"/>
          <w:color w:val="7D8894"/>
          <w:sz w:val="18"/>
        </w:rPr>
        <w:t xml:space="preserve"> Abstención nacional observada 2009–2024 y proyecciones 2027 y 2030.</w:t>
      </w:r>
    </w:p>
    <w:p>
      <w:pPr>
        <w:pStyle w:val="Heading2"/>
      </w:pPr>
      <w:r>
        <w:t>2.2 Brechas estructurales</w:t>
      </w:r>
    </w:p>
    <w:p>
      <w:pPr>
        <w:spacing w:after="100"/>
        <w:jc w:val="both"/>
      </w:pPr>
      <w:r>
        <w:rPr>
          <w:b/>
        </w:rPr>
        <w:t>Juventudes.</w:t>
      </w:r>
      <w:r>
        <w:rPr>
          <w:b w:val="0"/>
        </w:rPr>
        <w:t xml:space="preserve"> En todas las entidades las personas de 18 a 29 años participan menos que el promedio: la brecha media fue de 9.7 pp en 2021 y 10.6 pp en 2024. Para 2027 el modelo proyecta 59.4% de abstención en juventudes frente a 45.4% en el resto (promedio nacional ponderado por lista nominal; la Figura 2 muestra la mediana de las 32 entidades, 59.8% frente a 45.0%). El máximo es Baja California con 69.7%. Las juventudes son 26.5% de la lista nominal 2024.</w:t>
      </w:r>
    </w:p>
    <w:p>
      <w:pPr>
        <w:spacing w:after="100"/>
        <w:jc w:val="both"/>
      </w:pPr>
      <w:r>
        <w:rPr>
          <w:b/>
        </w:rPr>
        <w:t>Sexo.</w:t>
      </w:r>
      <w:r>
        <w:rPr>
          <w:b w:val="0"/>
        </w:rPr>
        <w:t xml:space="preserve"> Los hombres se abstienen más que las mujeres en las 32 entidades: en 2024 la participación de las mujeres superó a la de los hombres entre 6.0 y 12.4 pp. La brecha se suma a la de edad: para 2027 se proyecta 64.6% de abstención en hombres jóvenes y 54.1% en mujeres jóvenes.</w:t>
      </w:r>
    </w:p>
    <w:p>
      <w:pPr>
        <w:spacing w:after="100"/>
        <w:jc w:val="both"/>
      </w:pPr>
      <w:r>
        <w:rPr>
          <w:b/>
        </w:rPr>
        <w:t>Tipo de sección.</w:t>
      </w:r>
      <w:r>
        <w:rPr>
          <w:b w:val="0"/>
        </w:rPr>
        <w:t xml:space="preserve"> Contra la intuición, la abstención proyectada es mayor en secciones urbanas (49.9%) y mixtas (49.6%) que en las rurales (45.7%). Esto ocurre en 28 de 32 entidades; solo en Baja California, Ciudad de México, Guanajuato e Hidalgo la abstención rural supera a la urbana. Lo rural, por tanto, no es un riesgo homogéneo: es crítico en entidades específicas y es, sobre todo, donde el costo operativo por persona alcanzada es mayor (17.5% de la lista nominal).</w:t>
      </w:r>
    </w:p>
    <w:p>
      <w:pPr>
        <w:spacing w:after="100"/>
        <w:jc w:val="both"/>
      </w:pPr>
      <w:r>
        <w:rPr>
          <w:b/>
        </w:rPr>
        <w:t>Población indígena y afromexicana.</w:t>
      </w:r>
      <w:r>
        <w:rPr>
          <w:b w:val="0"/>
        </w:rPr>
        <w:t xml:space="preserve"> La correlación entre el porcentaje de población hablante de lengua indígena y la abstención proyectada es débil y negativa (Spearman −0.24): las entidades con mayor presencia indígena (Oaxaca, Chiapas, Yucatán, Guerrero) no están en rojo. Estas variables no se usan como predictores, sino como criterio de </w:t>
      </w:r>
      <w:r>
        <w:rPr>
          <w:b/>
        </w:rPr>
        <w:t>pertinencia intercultural</w:t>
      </w:r>
      <w:r>
        <w:rPr>
          <w:b w:val="0"/>
        </w:rPr>
        <w:t xml:space="preserve"> de las acciones (lenguas, materiales y brigadas), en particular en Guerrero y Oaxaca, que concentran la mayor proporción de población afromexicana.</w:t>
      </w:r>
    </w:p>
    <w:p>
      <w:pPr>
        <w:keepNext/>
        <w:spacing w:after="2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472000" cy="222940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brechas_edad_rural_sex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22294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264" w:lineRule="auto"/>
        <w:jc w:val="center"/>
      </w:pPr>
      <w:r>
        <w:rPr>
          <w:b/>
          <w:color w:val="7D8894"/>
          <w:sz w:val="18"/>
        </w:rPr>
        <w:t>Figura 2.</w:t>
      </w:r>
      <w:r>
        <w:rPr>
          <w:b w:val="0"/>
          <w:color w:val="7D8894"/>
          <w:sz w:val="18"/>
        </w:rPr>
        <w:t xml:space="preserve"> Abstención proyectada 2027 por edad, tipo de sección y sexo en las 32 entidades.</w:t>
      </w:r>
    </w:p>
    <w:p>
      <w:pPr>
        <w:pStyle w:val="Heading1"/>
      </w:pPr>
      <w:r>
        <w:t>3. Metodología predictiva: modelo de “dos lentes” de memoria electoral</w:t>
      </w:r>
    </w:p>
    <w:p>
      <w:pPr>
        <w:pStyle w:val="Heading2"/>
      </w:pPr>
      <w:r>
        <w:t>3.1 Formulación</w:t>
      </w:r>
    </w:p>
    <w:p>
      <w:pPr>
        <w:spacing w:after="100"/>
        <w:jc w:val="both"/>
      </w:pPr>
      <w:r>
        <w:rPr>
          <w:b w:val="0"/>
        </w:rPr>
        <w:t>Para cada celda c (entidad × tipo de sección × sexo × edad) y elección objetivo t se combinan dos proyecciones de la participación P:</w:t>
      </w:r>
    </w:p>
    <w:p>
      <w:pPr>
        <w:spacing w:after="80" w:line="288" w:lineRule="auto"/>
        <w:jc w:val="center"/>
      </w:pPr>
      <w:r>
        <w:rPr>
          <w:rFonts w:ascii="Cambria Math" w:hAnsi="Cambria Math"/>
          <w:i/>
          <w:sz w:val="23"/>
        </w:rPr>
        <w:t>Lente A (mismo tipo):   P̂ᴬ(c,t) = P(c, t−6) + αᴬ[tipo(t)] + γᴬ · ΔGob(e, t, t−6)</w:t>
      </w:r>
    </w:p>
    <w:p>
      <w:pPr>
        <w:spacing w:after="80" w:line="288" w:lineRule="auto"/>
        <w:jc w:val="center"/>
      </w:pPr>
      <w:r>
        <w:rPr>
          <w:rFonts w:ascii="Cambria Math" w:hAnsi="Cambria Math"/>
          <w:i/>
          <w:sz w:val="23"/>
        </w:rPr>
        <w:t>Lente B (reciente):     P̂ᴮ(c,t) = P(c, t−3) + αᴮ[tipo(t)] + γᴮ · ΔGob(e, t, t−3)</w:t>
      </w:r>
    </w:p>
    <w:p>
      <w:pPr>
        <w:spacing w:after="80" w:line="288" w:lineRule="auto"/>
        <w:jc w:val="center"/>
      </w:pPr>
      <w:r>
        <w:rPr>
          <w:rFonts w:ascii="Cambria Math" w:hAnsi="Cambria Math"/>
          <w:i/>
          <w:sz w:val="23"/>
        </w:rPr>
        <w:t>Proyección final:   P̂(c,t) = ½ · P̂ᴬ + ½ · P̂ᴮ          Â(c,t) = 100 − P̂(c,t)</w:t>
      </w:r>
    </w:p>
    <w:p>
      <w:pPr>
        <w:spacing w:after="100"/>
        <w:jc w:val="both"/>
      </w:pPr>
      <w:r>
        <w:rPr>
          <w:b w:val="0"/>
        </w:rPr>
        <w:t xml:space="preserve">donde α[tipo] es el desplazamiento nacional típico al pasar a una elección intermedia o presidencial (efecto ciclo), ΔGob es el cambio en la concurrencia de elección de gubernatura en la entidad (+1, 0 o −1) y γ los puntos de participación que aporta esa concurrencia. Los coeficientes se estiman por </w:t>
      </w:r>
      <w:r>
        <w:rPr>
          <w:b/>
        </w:rPr>
        <w:t>mínimos cuadrados ponderados por la lista nominal</w:t>
      </w:r>
      <w:r>
        <w:rPr>
          <w:b w:val="0"/>
        </w:rPr>
        <w:t xml:space="preserve"> con todas las transiciones históricas anteriores a la elección objetivo; son seis en total y todos tienen lectura directa (Tabla 7). La proyección se limita al intervalo 5%–98% y las celdas se agregan a entidad ponderando por la lista nominal proyectada, de modo que la composición por edad, sexo y tipo de sección entra de forma explícita.</w:t>
      </w:r>
    </w:p>
    <w:p>
      <w:pPr>
        <w:keepNext/>
        <w:spacing w:after="40" w:line="264" w:lineRule="auto"/>
        <w:jc w:val="left"/>
      </w:pPr>
      <w:r>
        <w:rPr>
          <w:b/>
          <w:sz w:val="19"/>
        </w:rPr>
        <w:t>Tabla 7.</w:t>
      </w:r>
      <w:r>
        <w:rPr>
          <w:b w:val="0"/>
          <w:sz w:val="19"/>
        </w:rPr>
        <w:t xml:space="preserve"> Coeficientes estimados con toda la historia 2009–2024 (usados para proyectar 2027)</w:t>
      </w:r>
    </w:p>
    <w:tbl>
      <w:tblPr>
        <w:tblW w:type="dxa" w:w="9355"/>
        <w:jc w:val="center"/>
        <w:tblLayout w:type="fixed"/>
        <w:tblLook w:firstColumn="1" w:firstRow="1" w:lastColumn="0" w:lastRow="0" w:noHBand="0" w:noVBand="1" w:val="04A0"/>
        <w:tblBorders>
          <w:top w:val="single" w:sz="4" w:color="D5DCE3"/>
          <w:bottom w:val="single" w:sz="4" w:color="D5DCE3"/>
          <w:insideH w:val="single" w:sz="4" w:color="D5DCE3"/>
          <w:left w:val="nil"/>
          <w:right w:val="nil"/>
          <w:insideV w:val="nil"/>
        </w:tblBorders>
        <w:tblLayout w:type="fixed"/>
      </w:tblPr>
      <w:tblGrid>
        <w:gridCol w:w="1871"/>
        <w:gridCol w:w="1417"/>
        <w:gridCol w:w="1077"/>
        <w:gridCol w:w="2835"/>
        <w:gridCol w:w="2154"/>
      </w:tblGrid>
      <w:tr>
        <w:trPr>
          <w:cantSplit w:val="true"/>
          <w:tblHeader w:val="true"/>
        </w:trPr>
        <w:tc>
          <w:tcPr>
            <w:tcW w:type="dxa" w:w="1871"/>
            <w:shd w:val="clear" w:color="auto" w:fill="23395B"/>
          </w:tcPr>
          <w:p>
            <w:pPr>
              <w:keepNext w:val="0"/>
              <w:spacing w:after="20" w:before="20" w:line="240" w:lineRule="auto"/>
              <w:jc w:val="left"/>
            </w:pPr>
            <w:r/>
            <w:r>
              <w:rPr>
                <w:b/>
                <w:color w:val="FFFFFF"/>
                <w:sz w:val="16"/>
              </w:rPr>
              <w:t>Lente</w:t>
            </w:r>
          </w:p>
        </w:tc>
        <w:tc>
          <w:tcPr>
            <w:tcW w:type="dxa" w:w="1417"/>
            <w:shd w:val="clear" w:color="auto" w:fill="23395B"/>
          </w:tcPr>
          <w:p>
            <w:pPr>
              <w:keepNext w:val="0"/>
              <w:spacing w:after="20" w:before="20" w:line="240" w:lineRule="auto"/>
              <w:jc w:val="center"/>
            </w:pPr>
            <w:r/>
            <w:r>
              <w:rPr>
                <w:b/>
                <w:color w:val="FFFFFF"/>
                <w:sz w:val="16"/>
              </w:rPr>
              <w:t>Coeficiente</w:t>
            </w:r>
          </w:p>
        </w:tc>
        <w:tc>
          <w:tcPr>
            <w:tcW w:type="dxa" w:w="1077"/>
            <w:shd w:val="clear" w:color="auto" w:fill="23395B"/>
          </w:tcPr>
          <w:p>
            <w:pPr>
              <w:keepNext w:val="0"/>
              <w:spacing w:after="20" w:before="20" w:line="240" w:lineRule="auto"/>
              <w:jc w:val="center"/>
            </w:pPr>
            <w:r/>
            <w:r>
              <w:rPr>
                <w:b/>
                <w:color w:val="FFFFFF"/>
                <w:sz w:val="16"/>
              </w:rPr>
              <w:t>Valor (pp)</w:t>
            </w:r>
          </w:p>
        </w:tc>
        <w:tc>
          <w:tcPr>
            <w:tcW w:type="dxa" w:w="2835"/>
            <w:shd w:val="clear" w:color="auto" w:fill="23395B"/>
          </w:tcPr>
          <w:p>
            <w:pPr>
              <w:keepNext w:val="0"/>
              <w:spacing w:after="20" w:before="20" w:line="240" w:lineRule="auto"/>
              <w:jc w:val="left"/>
            </w:pPr>
            <w:r/>
            <w:r>
              <w:rPr>
                <w:b/>
                <w:color w:val="FFFFFF"/>
                <w:sz w:val="16"/>
              </w:rPr>
              <w:t>Lectura</w:t>
            </w:r>
          </w:p>
        </w:tc>
        <w:tc>
          <w:tcPr>
            <w:tcW w:type="dxa" w:w="2154"/>
            <w:shd w:val="clear" w:color="auto" w:fill="23395B"/>
          </w:tcPr>
          <w:p>
            <w:pPr>
              <w:keepNext w:val="0"/>
              <w:spacing w:after="20" w:before="20" w:line="240" w:lineRule="auto"/>
              <w:jc w:val="left"/>
            </w:pPr>
            <w:r/>
            <w:r>
              <w:rPr>
                <w:b/>
                <w:color w:val="FFFFFF"/>
                <w:sz w:val="16"/>
              </w:rPr>
              <w:t>Transiciones</w:t>
            </w:r>
          </w:p>
        </w:tc>
      </w:tr>
      <w:tr>
        <w:trPr>
          <w:cantSplit w:val="true"/>
        </w:trPr>
        <w:tc>
          <w:tcPr>
            <w:tcW w:type="dxa" w:w="1871"/>
          </w:tcPr>
          <w:p>
            <w:pPr>
              <w:keepNext w:val="0"/>
              <w:spacing w:after="20" w:before="20" w:line="240" w:lineRule="auto"/>
              <w:jc w:val="left"/>
            </w:pPr>
            <w:r/>
            <w:r>
              <w:rPr>
                <w:sz w:val="16"/>
              </w:rPr>
              <w:t>A · mismo tipo (t−6)</w:t>
            </w:r>
          </w:p>
        </w:tc>
        <w:tc>
          <w:tcPr>
            <w:tcW w:type="dxa" w:w="1417"/>
          </w:tcPr>
          <w:p>
            <w:pPr>
              <w:keepNext w:val="0"/>
              <w:spacing w:after="20" w:before="20" w:line="240" w:lineRule="auto"/>
              <w:jc w:val="center"/>
            </w:pPr>
            <w:r/>
            <w:r>
              <w:rPr>
                <w:sz w:val="16"/>
              </w:rPr>
              <w:t>α intermedia</w:t>
            </w:r>
          </w:p>
        </w:tc>
        <w:tc>
          <w:tcPr>
            <w:tcW w:type="dxa" w:w="1077"/>
          </w:tcPr>
          <w:p>
            <w:pPr>
              <w:keepNext w:val="0"/>
              <w:spacing w:after="20" w:before="20" w:line="240" w:lineRule="auto"/>
              <w:jc w:val="center"/>
            </w:pPr>
            <w:r/>
            <w:r>
              <w:rPr>
                <w:sz w:val="16"/>
              </w:rPr>
              <w:t>+2.49</w:t>
            </w:r>
          </w:p>
        </w:tc>
        <w:tc>
          <w:tcPr>
            <w:tcW w:type="dxa" w:w="2835"/>
          </w:tcPr>
          <w:p>
            <w:pPr>
              <w:keepNext w:val="0"/>
              <w:spacing w:after="20" w:before="20" w:line="240" w:lineRule="auto"/>
              <w:jc w:val="left"/>
            </w:pPr>
            <w:r/>
            <w:r>
              <w:rPr>
                <w:sz w:val="16"/>
              </w:rPr>
              <w:t>Cambio típico al llegar a una intermedia</w:t>
            </w:r>
          </w:p>
        </w:tc>
        <w:tc>
          <w:tcPr>
            <w:tcW w:type="dxa" w:w="2154"/>
          </w:tcPr>
          <w:p>
            <w:pPr>
              <w:keepNext w:val="0"/>
              <w:spacing w:after="20" w:before="20" w:line="240" w:lineRule="auto"/>
              <w:jc w:val="left"/>
            </w:pPr>
            <w:r/>
            <w:r>
              <w:rPr>
                <w:sz w:val="16"/>
              </w:rPr>
              <w:t>2009→2015 2012→2018 2015→2021 2018→2024</w:t>
            </w:r>
          </w:p>
        </w:tc>
      </w:tr>
      <w:tr>
        <w:trPr>
          <w:cantSplit w:val="true"/>
        </w:trPr>
        <w:tc>
          <w:tcPr>
            <w:tcW w:type="dxa" w:w="1871"/>
            <w:shd w:val="clear" w:color="auto" w:fill="F2F5F8"/>
          </w:tcPr>
          <w:p>
            <w:pPr>
              <w:keepNext w:val="0"/>
              <w:spacing w:after="20" w:before="20" w:line="240" w:lineRule="auto"/>
              <w:jc w:val="left"/>
            </w:pPr>
            <w:r/>
            <w:r>
              <w:rPr>
                <w:sz w:val="16"/>
              </w:rPr>
              <w:t>A · mismo tipo (t−6)</w:t>
            </w:r>
          </w:p>
        </w:tc>
        <w:tc>
          <w:tcPr>
            <w:tcW w:type="dxa" w:w="1417"/>
            <w:shd w:val="clear" w:color="auto" w:fill="F2F5F8"/>
          </w:tcPr>
          <w:p>
            <w:pPr>
              <w:keepNext w:val="0"/>
              <w:spacing w:after="20" w:before="20" w:line="240" w:lineRule="auto"/>
              <w:jc w:val="center"/>
            </w:pPr>
            <w:r/>
            <w:r>
              <w:rPr>
                <w:sz w:val="16"/>
              </w:rPr>
              <w:t>α presidencial</w:t>
            </w:r>
          </w:p>
        </w:tc>
        <w:tc>
          <w:tcPr>
            <w:tcW w:type="dxa" w:w="1077"/>
            <w:shd w:val="clear" w:color="auto" w:fill="F2F5F8"/>
          </w:tcPr>
          <w:p>
            <w:pPr>
              <w:keepNext w:val="0"/>
              <w:spacing w:after="20" w:before="20" w:line="240" w:lineRule="auto"/>
              <w:jc w:val="center"/>
            </w:pPr>
            <w:r/>
            <w:r>
              <w:rPr>
                <w:sz w:val="16"/>
              </w:rPr>
              <w:t>-2.23</w:t>
            </w:r>
          </w:p>
        </w:tc>
        <w:tc>
          <w:tcPr>
            <w:tcW w:type="dxa" w:w="2835"/>
            <w:shd w:val="clear" w:color="auto" w:fill="F2F5F8"/>
          </w:tcPr>
          <w:p>
            <w:pPr>
              <w:keepNext w:val="0"/>
              <w:spacing w:after="20" w:before="20" w:line="240" w:lineRule="auto"/>
              <w:jc w:val="left"/>
            </w:pPr>
            <w:r/>
            <w:r>
              <w:rPr>
                <w:sz w:val="16"/>
              </w:rPr>
              <w:t>Cambio típico al llegar a una presidencial</w:t>
            </w:r>
          </w:p>
        </w:tc>
        <w:tc>
          <w:tcPr>
            <w:tcW w:type="dxa" w:w="2154"/>
            <w:shd w:val="clear" w:color="auto" w:fill="F2F5F8"/>
          </w:tcPr>
          <w:p>
            <w:pPr>
              <w:keepNext w:val="0"/>
              <w:spacing w:after="20" w:before="20" w:line="240" w:lineRule="auto"/>
              <w:jc w:val="left"/>
            </w:pPr>
            <w:r/>
            <w:r>
              <w:rPr>
                <w:sz w:val="16"/>
              </w:rPr>
              <w:t>2009→2015 2012→2018 2015→2021 2018→2024</w:t>
            </w:r>
          </w:p>
        </w:tc>
      </w:tr>
      <w:tr>
        <w:trPr>
          <w:cantSplit w:val="true"/>
        </w:trPr>
        <w:tc>
          <w:tcPr>
            <w:tcW w:type="dxa" w:w="1871"/>
          </w:tcPr>
          <w:p>
            <w:pPr>
              <w:keepNext w:val="0"/>
              <w:spacing w:after="20" w:before="20" w:line="240" w:lineRule="auto"/>
              <w:jc w:val="left"/>
            </w:pPr>
            <w:r/>
            <w:r>
              <w:rPr>
                <w:sz w:val="16"/>
              </w:rPr>
              <w:t>A · mismo tipo (t−6)</w:t>
            </w:r>
          </w:p>
        </w:tc>
        <w:tc>
          <w:tcPr>
            <w:tcW w:type="dxa" w:w="1417"/>
          </w:tcPr>
          <w:p>
            <w:pPr>
              <w:keepNext w:val="0"/>
              <w:spacing w:after="20" w:before="20" w:line="240" w:lineRule="auto"/>
              <w:jc w:val="center"/>
            </w:pPr>
            <w:r/>
            <w:r>
              <w:rPr>
                <w:sz w:val="16"/>
              </w:rPr>
              <w:t>γ gubernatura</w:t>
            </w:r>
          </w:p>
        </w:tc>
        <w:tc>
          <w:tcPr>
            <w:tcW w:type="dxa" w:w="1077"/>
          </w:tcPr>
          <w:p>
            <w:pPr>
              <w:keepNext w:val="0"/>
              <w:spacing w:after="20" w:before="20" w:line="240" w:lineRule="auto"/>
              <w:jc w:val="center"/>
            </w:pPr>
            <w:r/>
            <w:r>
              <w:rPr>
                <w:sz w:val="16"/>
              </w:rPr>
              <w:t>+9.50</w:t>
            </w:r>
          </w:p>
        </w:tc>
        <w:tc>
          <w:tcPr>
            <w:tcW w:type="dxa" w:w="2835"/>
          </w:tcPr>
          <w:p>
            <w:pPr>
              <w:keepNext w:val="0"/>
              <w:spacing w:after="20" w:before="20" w:line="240" w:lineRule="auto"/>
              <w:jc w:val="left"/>
            </w:pPr>
            <w:r/>
            <w:r>
              <w:rPr>
                <w:sz w:val="16"/>
              </w:rPr>
              <w:t>Efecto de tener gubernatura concurrente</w:t>
            </w:r>
          </w:p>
        </w:tc>
        <w:tc>
          <w:tcPr>
            <w:tcW w:type="dxa" w:w="2154"/>
          </w:tcPr>
          <w:p>
            <w:pPr>
              <w:keepNext w:val="0"/>
              <w:spacing w:after="20" w:before="20" w:line="240" w:lineRule="auto"/>
              <w:jc w:val="left"/>
            </w:pPr>
            <w:r/>
            <w:r>
              <w:rPr>
                <w:sz w:val="16"/>
              </w:rPr>
              <w:t>2009→2015 2012→2018 2015→2021 2018→2024</w:t>
            </w:r>
          </w:p>
        </w:tc>
      </w:tr>
      <w:tr>
        <w:trPr>
          <w:cantSplit w:val="true"/>
        </w:trPr>
        <w:tc>
          <w:tcPr>
            <w:tcW w:type="dxa" w:w="1871"/>
            <w:shd w:val="clear" w:color="auto" w:fill="F2F5F8"/>
          </w:tcPr>
          <w:p>
            <w:pPr>
              <w:keepNext w:val="0"/>
              <w:spacing w:after="20" w:before="20" w:line="240" w:lineRule="auto"/>
              <w:jc w:val="left"/>
            </w:pPr>
            <w:r/>
            <w:r>
              <w:rPr>
                <w:sz w:val="16"/>
              </w:rPr>
              <w:t>B · reciente (t−3)</w:t>
            </w:r>
          </w:p>
        </w:tc>
        <w:tc>
          <w:tcPr>
            <w:tcW w:type="dxa" w:w="1417"/>
            <w:shd w:val="clear" w:color="auto" w:fill="F2F5F8"/>
          </w:tcPr>
          <w:p>
            <w:pPr>
              <w:keepNext w:val="0"/>
              <w:spacing w:after="20" w:before="20" w:line="240" w:lineRule="auto"/>
              <w:jc w:val="center"/>
            </w:pPr>
            <w:r/>
            <w:r>
              <w:rPr>
                <w:sz w:val="16"/>
              </w:rPr>
              <w:t>α intermedia</w:t>
            </w:r>
          </w:p>
        </w:tc>
        <w:tc>
          <w:tcPr>
            <w:tcW w:type="dxa" w:w="1077"/>
            <w:shd w:val="clear" w:color="auto" w:fill="F2F5F8"/>
          </w:tcPr>
          <w:p>
            <w:pPr>
              <w:keepNext w:val="0"/>
              <w:spacing w:after="20" w:before="20" w:line="240" w:lineRule="auto"/>
              <w:jc w:val="center"/>
            </w:pPr>
            <w:r/>
            <w:r>
              <w:rPr>
                <w:sz w:val="16"/>
              </w:rPr>
              <w:t>-12.42</w:t>
            </w:r>
          </w:p>
        </w:tc>
        <w:tc>
          <w:tcPr>
            <w:tcW w:type="dxa" w:w="2835"/>
            <w:shd w:val="clear" w:color="auto" w:fill="F2F5F8"/>
          </w:tcPr>
          <w:p>
            <w:pPr>
              <w:keepNext w:val="0"/>
              <w:spacing w:after="20" w:before="20" w:line="240" w:lineRule="auto"/>
              <w:jc w:val="left"/>
            </w:pPr>
            <w:r/>
            <w:r>
              <w:rPr>
                <w:sz w:val="16"/>
              </w:rPr>
              <w:t>Cambio típico al llegar a una intermedia</w:t>
            </w:r>
          </w:p>
        </w:tc>
        <w:tc>
          <w:tcPr>
            <w:tcW w:type="dxa" w:w="2154"/>
            <w:shd w:val="clear" w:color="auto" w:fill="F2F5F8"/>
          </w:tcPr>
          <w:p>
            <w:pPr>
              <w:keepNext w:val="0"/>
              <w:spacing w:after="20" w:before="20" w:line="240" w:lineRule="auto"/>
              <w:jc w:val="left"/>
            </w:pPr>
            <w:r/>
            <w:r>
              <w:rPr>
                <w:sz w:val="16"/>
              </w:rPr>
              <w:t>2009→2012 2012→2015 2015→2018 2018→2021 2021→2024</w:t>
            </w:r>
          </w:p>
        </w:tc>
      </w:tr>
      <w:tr>
        <w:trPr>
          <w:cantSplit w:val="true"/>
        </w:trPr>
        <w:tc>
          <w:tcPr>
            <w:tcW w:type="dxa" w:w="1871"/>
          </w:tcPr>
          <w:p>
            <w:pPr>
              <w:keepNext w:val="0"/>
              <w:spacing w:after="20" w:before="20" w:line="240" w:lineRule="auto"/>
              <w:jc w:val="left"/>
            </w:pPr>
            <w:r/>
            <w:r>
              <w:rPr>
                <w:sz w:val="16"/>
              </w:rPr>
              <w:t>B · reciente (t−3)</w:t>
            </w:r>
          </w:p>
        </w:tc>
        <w:tc>
          <w:tcPr>
            <w:tcW w:type="dxa" w:w="1417"/>
          </w:tcPr>
          <w:p>
            <w:pPr>
              <w:keepNext w:val="0"/>
              <w:spacing w:after="20" w:before="20" w:line="240" w:lineRule="auto"/>
              <w:jc w:val="center"/>
            </w:pPr>
            <w:r/>
            <w:r>
              <w:rPr>
                <w:sz w:val="16"/>
              </w:rPr>
              <w:t>α presidencial</w:t>
            </w:r>
          </w:p>
        </w:tc>
        <w:tc>
          <w:tcPr>
            <w:tcW w:type="dxa" w:w="1077"/>
          </w:tcPr>
          <w:p>
            <w:pPr>
              <w:keepNext w:val="0"/>
              <w:spacing w:after="20" w:before="20" w:line="240" w:lineRule="auto"/>
              <w:jc w:val="center"/>
            </w:pPr>
            <w:r/>
            <w:r>
              <w:rPr>
                <w:sz w:val="16"/>
              </w:rPr>
              <w:t>+12.41</w:t>
            </w:r>
          </w:p>
        </w:tc>
        <w:tc>
          <w:tcPr>
            <w:tcW w:type="dxa" w:w="2835"/>
          </w:tcPr>
          <w:p>
            <w:pPr>
              <w:keepNext w:val="0"/>
              <w:spacing w:after="20" w:before="20" w:line="240" w:lineRule="auto"/>
              <w:jc w:val="left"/>
            </w:pPr>
            <w:r/>
            <w:r>
              <w:rPr>
                <w:sz w:val="16"/>
              </w:rPr>
              <w:t>Cambio típico al llegar a una presidencial</w:t>
            </w:r>
          </w:p>
        </w:tc>
        <w:tc>
          <w:tcPr>
            <w:tcW w:type="dxa" w:w="2154"/>
          </w:tcPr>
          <w:p>
            <w:pPr>
              <w:keepNext w:val="0"/>
              <w:spacing w:after="20" w:before="20" w:line="240" w:lineRule="auto"/>
              <w:jc w:val="left"/>
            </w:pPr>
            <w:r/>
            <w:r>
              <w:rPr>
                <w:sz w:val="16"/>
              </w:rPr>
              <w:t>2009→2012 2012→2015 2015→2018 2018→2021 2021→2024</w:t>
            </w:r>
          </w:p>
        </w:tc>
      </w:tr>
      <w:tr>
        <w:trPr>
          <w:cantSplit w:val="true"/>
        </w:trPr>
        <w:tc>
          <w:tcPr>
            <w:tcW w:type="dxa" w:w="1871"/>
            <w:shd w:val="clear" w:color="auto" w:fill="F2F5F8"/>
          </w:tcPr>
          <w:p>
            <w:pPr>
              <w:keepNext w:val="0"/>
              <w:spacing w:after="20" w:before="20" w:line="240" w:lineRule="auto"/>
              <w:jc w:val="left"/>
            </w:pPr>
            <w:r/>
            <w:r>
              <w:rPr>
                <w:sz w:val="16"/>
              </w:rPr>
              <w:t>B · reciente (t−3)</w:t>
            </w:r>
          </w:p>
        </w:tc>
        <w:tc>
          <w:tcPr>
            <w:tcW w:type="dxa" w:w="1417"/>
            <w:shd w:val="clear" w:color="auto" w:fill="F2F5F8"/>
          </w:tcPr>
          <w:p>
            <w:pPr>
              <w:keepNext w:val="0"/>
              <w:spacing w:after="20" w:before="20" w:line="240" w:lineRule="auto"/>
              <w:jc w:val="center"/>
            </w:pPr>
            <w:r/>
            <w:r>
              <w:rPr>
                <w:sz w:val="16"/>
              </w:rPr>
              <w:t>γ gubernatura</w:t>
            </w:r>
          </w:p>
        </w:tc>
        <w:tc>
          <w:tcPr>
            <w:tcW w:type="dxa" w:w="1077"/>
            <w:shd w:val="clear" w:color="auto" w:fill="F2F5F8"/>
          </w:tcPr>
          <w:p>
            <w:pPr>
              <w:keepNext w:val="0"/>
              <w:spacing w:after="20" w:before="20" w:line="240" w:lineRule="auto"/>
              <w:jc w:val="center"/>
            </w:pPr>
            <w:r/>
            <w:r>
              <w:rPr>
                <w:sz w:val="16"/>
              </w:rPr>
              <w:t>+3.67</w:t>
            </w:r>
          </w:p>
        </w:tc>
        <w:tc>
          <w:tcPr>
            <w:tcW w:type="dxa" w:w="2835"/>
            <w:shd w:val="clear" w:color="auto" w:fill="F2F5F8"/>
          </w:tcPr>
          <w:p>
            <w:pPr>
              <w:keepNext w:val="0"/>
              <w:spacing w:after="20" w:before="20" w:line="240" w:lineRule="auto"/>
              <w:jc w:val="left"/>
            </w:pPr>
            <w:r/>
            <w:r>
              <w:rPr>
                <w:sz w:val="16"/>
              </w:rPr>
              <w:t>Efecto de tener gubernatura concurrente</w:t>
            </w:r>
          </w:p>
        </w:tc>
        <w:tc>
          <w:tcPr>
            <w:tcW w:type="dxa" w:w="2154"/>
            <w:shd w:val="clear" w:color="auto" w:fill="F2F5F8"/>
          </w:tcPr>
          <w:p>
            <w:pPr>
              <w:keepNext w:val="0"/>
              <w:spacing w:after="20" w:before="20" w:line="240" w:lineRule="auto"/>
              <w:jc w:val="left"/>
            </w:pPr>
            <w:r/>
            <w:r>
              <w:rPr>
                <w:sz w:val="16"/>
              </w:rPr>
              <w:t>2009→2012 2012→2015 2015→2018 2018→2021 2021→2024</w:t>
            </w:r>
          </w:p>
        </w:tc>
      </w:tr>
    </w:tbl>
    <w:p>
      <w:pPr>
        <w:spacing w:after="40"/>
      </w:pPr>
    </w:p>
    <w:p>
      <w:pPr>
        <w:spacing w:after="100"/>
        <w:jc w:val="both"/>
      </w:pPr>
      <w:r>
        <w:rPr>
          <w:b w:val="0"/>
        </w:rPr>
        <w:t xml:space="preserve">El hallazgo más relevante es el </w:t>
      </w:r>
      <w:r>
        <w:rPr>
          <w:b/>
        </w:rPr>
        <w:t>efecto gubernatura</w:t>
      </w:r>
      <w:r>
        <w:rPr>
          <w:b w:val="0"/>
        </w:rPr>
        <w:t>: cuando una entidad elige gobernador, su participación sube +9.50 pp respecto a la elección del mismo tipo sin gubernatura (lente A) y +3.67 pp respecto a la elección inmediata (lente B). Los α del lente B (-12.42 y +12.41 pp) cuantifican el ciclo; los del lente A (+2.49 y -2.23 pp) indican que, entre elecciones del mismo tipo, las intermedias mejoraron ligeramente. La lista nominal 2027 se proyecta con el crecimiento trienal observado 2021→2024 de cada entidad, y la de 2030 con la misma tasa.</w:t>
      </w:r>
    </w:p>
    <w:p>
      <w:pPr>
        <w:pStyle w:val="Heading2"/>
      </w:pPr>
      <w:r>
        <w:t>3.2 Validación retrospectiva</w:t>
      </w:r>
    </w:p>
    <w:p>
      <w:pPr>
        <w:spacing w:after="100"/>
        <w:jc w:val="both"/>
      </w:pPr>
      <w:r>
        <w:rPr>
          <w:b w:val="0"/>
        </w:rPr>
        <w:t>Para medir la precisión sin “ver el futuro”, el método se aplicó dos veces con datos truncados: se anticipó 2021 usando solo 2009–2018 y 2024 usando solo 2009–2021. Se comparan seis especificaciones, de la más ingenua a la final (Tabla 8 y Figura 3). Las métricas se miden a nivel entidad, que es la escala del semáforo.</w:t>
      </w:r>
    </w:p>
    <w:p>
      <w:pPr>
        <w:keepNext/>
        <w:spacing w:after="40" w:line="264" w:lineRule="auto"/>
        <w:jc w:val="left"/>
      </w:pPr>
      <w:r>
        <w:rPr>
          <w:b/>
          <w:sz w:val="19"/>
        </w:rPr>
        <w:t>Tabla 8.</w:t>
      </w:r>
      <w:r>
        <w:rPr>
          <w:b w:val="0"/>
          <w:sz w:val="19"/>
        </w:rPr>
        <w:t xml:space="preserve"> Resultados de la validación retrospectiva</w:t>
      </w:r>
    </w:p>
    <w:tbl>
      <w:tblPr>
        <w:tblW w:type="dxa" w:w="9468"/>
        <w:jc w:val="center"/>
        <w:tblLayout w:type="fixed"/>
        <w:tblLook w:firstColumn="1" w:firstRow="1" w:lastColumn="0" w:lastRow="0" w:noHBand="0" w:noVBand="1" w:val="04A0"/>
        <w:tblBorders>
          <w:top w:val="single" w:sz="4" w:color="D5DCE3"/>
          <w:bottom w:val="single" w:sz="4" w:color="D5DCE3"/>
          <w:insideH w:val="single" w:sz="4" w:color="D5DCE3"/>
          <w:left w:val="nil"/>
          <w:right w:val="nil"/>
          <w:insideV w:val="nil"/>
        </w:tblBorders>
        <w:tblLayout w:type="fixed"/>
      </w:tblPr>
      <w:tblGrid>
        <w:gridCol w:w="963"/>
        <w:gridCol w:w="3742"/>
        <w:gridCol w:w="1077"/>
        <w:gridCol w:w="1304"/>
        <w:gridCol w:w="1360"/>
        <w:gridCol w:w="1020"/>
      </w:tblGrid>
      <w:tr>
        <w:trPr>
          <w:cantSplit w:val="true"/>
          <w:tblHeader w:val="true"/>
        </w:trPr>
        <w:tc>
          <w:tcPr>
            <w:tcW w:type="dxa" w:w="964"/>
            <w:shd w:val="clear" w:color="auto" w:fill="23395B"/>
          </w:tcPr>
          <w:p>
            <w:pPr>
              <w:keepNext/>
              <w:spacing w:after="20" w:before="20" w:line="240" w:lineRule="auto"/>
              <w:jc w:val="left"/>
            </w:pPr>
            <w:r/>
            <w:r>
              <w:rPr>
                <w:b/>
                <w:color w:val="FFFFFF"/>
                <w:sz w:val="16"/>
              </w:rPr>
              <w:t>Elección</w:t>
            </w:r>
          </w:p>
        </w:tc>
        <w:tc>
          <w:tcPr>
            <w:tcW w:type="dxa" w:w="3742"/>
            <w:shd w:val="clear" w:color="auto" w:fill="23395B"/>
          </w:tcPr>
          <w:p>
            <w:pPr>
              <w:keepNext/>
              <w:spacing w:after="20" w:before="20" w:line="240" w:lineRule="auto"/>
              <w:jc w:val="left"/>
            </w:pPr>
            <w:r/>
            <w:r>
              <w:rPr>
                <w:b/>
                <w:color w:val="FFFFFF"/>
                <w:sz w:val="16"/>
              </w:rPr>
              <w:t>Modelo</w:t>
            </w:r>
          </w:p>
        </w:tc>
        <w:tc>
          <w:tcPr>
            <w:tcW w:type="dxa" w:w="1077"/>
            <w:shd w:val="clear" w:color="auto" w:fill="23395B"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b/>
                <w:color w:val="FFFFFF"/>
                <w:sz w:val="16"/>
              </w:rPr>
              <w:t>MAE (pp)</w:t>
            </w:r>
          </w:p>
        </w:tc>
        <w:tc>
          <w:tcPr>
            <w:tcW w:type="dxa" w:w="1304"/>
            <w:shd w:val="clear" w:color="auto" w:fill="23395B"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b/>
                <w:color w:val="FFFFFF"/>
                <w:sz w:val="16"/>
              </w:rPr>
              <w:t>Acierto color</w:t>
            </w:r>
          </w:p>
        </w:tc>
        <w:tc>
          <w:tcPr>
            <w:tcW w:type="dxa" w:w="1361"/>
            <w:shd w:val="clear" w:color="auto" w:fill="23395B"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b/>
                <w:color w:val="FFFFFF"/>
                <w:sz w:val="16"/>
              </w:rPr>
              <w:t>Rojos detectados</w:t>
            </w:r>
          </w:p>
        </w:tc>
        <w:tc>
          <w:tcPr>
            <w:tcW w:type="dxa" w:w="1020"/>
            <w:shd w:val="clear" w:color="auto" w:fill="23395B"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b/>
                <w:color w:val="FFFFFF"/>
                <w:sz w:val="16"/>
              </w:rPr>
              <w:t>Spearman</w:t>
            </w:r>
          </w:p>
        </w:tc>
      </w:tr>
      <w:tr>
        <w:trPr>
          <w:cantSplit w:val="true"/>
        </w:trPr>
        <w:tc>
          <w:tcPr>
            <w:tcW w:type="dxa" w:w="964"/>
          </w:tcPr>
          <w:p>
            <w:pPr>
              <w:keepNext/>
              <w:spacing w:after="20" w:before="20" w:line="240" w:lineRule="auto"/>
              <w:jc w:val="left"/>
            </w:pPr>
            <w:r/>
            <w:r>
              <w:rPr>
                <w:sz w:val="16"/>
              </w:rPr>
              <w:t>2021</w:t>
            </w:r>
          </w:p>
        </w:tc>
        <w:tc>
          <w:tcPr>
            <w:tcW w:type="dxa" w:w="3742"/>
          </w:tcPr>
          <w:p>
            <w:pPr>
              <w:keepNext/>
              <w:spacing w:after="20" w:before="20" w:line="240" w:lineRule="auto"/>
              <w:jc w:val="left"/>
            </w:pPr>
            <w:r/>
            <w:r>
              <w:rPr>
                <w:sz w:val="16"/>
              </w:rPr>
              <w:t>M0 Ingenuo mismo tipo (t-6)</w:t>
            </w:r>
          </w:p>
        </w:tc>
        <w:tc>
          <w:tcPr>
            <w:tcW w:type="dxa" w:w="1077"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sz w:val="16"/>
              </w:rPr>
              <w:t>7.83</w:t>
            </w:r>
          </w:p>
        </w:tc>
        <w:tc>
          <w:tcPr>
            <w:tcW w:type="dxa" w:w="1304"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sz w:val="16"/>
              </w:rPr>
              <w:t>46.9%</w:t>
            </w:r>
          </w:p>
        </w:tc>
        <w:tc>
          <w:tcPr>
            <w:tcW w:type="dxa" w:w="1361"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sz w:val="16"/>
              </w:rPr>
              <w:t>3/8</w:t>
            </w:r>
          </w:p>
        </w:tc>
        <w:tc>
          <w:tcPr>
            <w:tcW w:type="dxa" w:w="1020"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sz w:val="16"/>
              </w:rPr>
              <w:t>0.33</w:t>
            </w:r>
          </w:p>
        </w:tc>
      </w:tr>
      <w:tr>
        <w:trPr>
          <w:cantSplit w:val="true"/>
        </w:trPr>
        <w:tc>
          <w:tcPr>
            <w:tcW w:type="dxa" w:w="964"/>
            <w:shd w:val="clear" w:color="auto" w:fill="F2F5F8"/>
          </w:tcPr>
          <w:p>
            <w:pPr>
              <w:keepNext/>
              <w:spacing w:after="20" w:before="20" w:line="240" w:lineRule="auto"/>
              <w:jc w:val="left"/>
            </w:pPr>
            <w:r/>
            <w:r>
              <w:rPr>
                <w:sz w:val="16"/>
              </w:rPr>
              <w:t>2021</w:t>
            </w:r>
          </w:p>
        </w:tc>
        <w:tc>
          <w:tcPr>
            <w:tcW w:type="dxa" w:w="3742"/>
            <w:shd w:val="clear" w:color="auto" w:fill="F2F5F8"/>
          </w:tcPr>
          <w:p>
            <w:pPr>
              <w:keepNext/>
              <w:spacing w:after="20" w:before="20" w:line="240" w:lineRule="auto"/>
              <w:jc w:val="left"/>
            </w:pPr>
            <w:r/>
            <w:r>
              <w:rPr>
                <w:sz w:val="16"/>
              </w:rPr>
              <w:t>M1 Ingenuo reciente (t-3)</w:t>
            </w:r>
          </w:p>
        </w:tc>
        <w:tc>
          <w:tcPr>
            <w:tcW w:type="dxa" w:w="1077"/>
            <w:shd w:val="clear" w:color="auto" w:fill="F2F5F8"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sz w:val="16"/>
              </w:rPr>
              <w:t>9.84</w:t>
            </w:r>
          </w:p>
        </w:tc>
        <w:tc>
          <w:tcPr>
            <w:tcW w:type="dxa" w:w="1304"/>
            <w:shd w:val="clear" w:color="auto" w:fill="F2F5F8"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sz w:val="16"/>
              </w:rPr>
              <w:t>50.0%</w:t>
            </w:r>
          </w:p>
        </w:tc>
        <w:tc>
          <w:tcPr>
            <w:tcW w:type="dxa" w:w="1361"/>
            <w:shd w:val="clear" w:color="auto" w:fill="F2F5F8"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sz w:val="16"/>
              </w:rPr>
              <w:t>5/8</w:t>
            </w:r>
          </w:p>
        </w:tc>
        <w:tc>
          <w:tcPr>
            <w:tcW w:type="dxa" w:w="1020"/>
            <w:shd w:val="clear" w:color="auto" w:fill="F2F5F8"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sz w:val="16"/>
              </w:rPr>
              <w:t>0.74</w:t>
            </w:r>
          </w:p>
        </w:tc>
      </w:tr>
      <w:tr>
        <w:trPr>
          <w:cantSplit w:val="true"/>
        </w:trPr>
        <w:tc>
          <w:tcPr>
            <w:tcW w:type="dxa" w:w="964"/>
          </w:tcPr>
          <w:p>
            <w:pPr>
              <w:keepNext/>
              <w:spacing w:after="20" w:before="20" w:line="240" w:lineRule="auto"/>
              <w:jc w:val="left"/>
            </w:pPr>
            <w:r/>
            <w:r>
              <w:rPr>
                <w:sz w:val="16"/>
              </w:rPr>
              <w:t>2021</w:t>
            </w:r>
          </w:p>
        </w:tc>
        <w:tc>
          <w:tcPr>
            <w:tcW w:type="dxa" w:w="3742"/>
          </w:tcPr>
          <w:p>
            <w:pPr>
              <w:keepNext/>
              <w:spacing w:after="20" w:before="20" w:line="240" w:lineRule="auto"/>
              <w:jc w:val="left"/>
            </w:pPr>
            <w:r/>
            <w:r>
              <w:rPr>
                <w:sz w:val="16"/>
              </w:rPr>
              <w:t>M2 Lente A sin gubernatura</w:t>
            </w:r>
          </w:p>
        </w:tc>
        <w:tc>
          <w:tcPr>
            <w:tcW w:type="dxa" w:w="1077"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sz w:val="16"/>
              </w:rPr>
              <w:t>7.61</w:t>
            </w:r>
          </w:p>
        </w:tc>
        <w:tc>
          <w:tcPr>
            <w:tcW w:type="dxa" w:w="1304"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sz w:val="16"/>
              </w:rPr>
              <w:t>46.9%</w:t>
            </w:r>
          </w:p>
        </w:tc>
        <w:tc>
          <w:tcPr>
            <w:tcW w:type="dxa" w:w="1361"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sz w:val="16"/>
              </w:rPr>
              <w:t>3/8</w:t>
            </w:r>
          </w:p>
        </w:tc>
        <w:tc>
          <w:tcPr>
            <w:tcW w:type="dxa" w:w="1020"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sz w:val="16"/>
              </w:rPr>
              <w:t>0.33</w:t>
            </w:r>
          </w:p>
        </w:tc>
      </w:tr>
      <w:tr>
        <w:trPr>
          <w:cantSplit w:val="true"/>
        </w:trPr>
        <w:tc>
          <w:tcPr>
            <w:tcW w:type="dxa" w:w="964"/>
            <w:shd w:val="clear" w:color="auto" w:fill="F2F5F8"/>
          </w:tcPr>
          <w:p>
            <w:pPr>
              <w:keepNext/>
              <w:spacing w:after="20" w:before="20" w:line="240" w:lineRule="auto"/>
              <w:jc w:val="left"/>
            </w:pPr>
            <w:r/>
            <w:r>
              <w:rPr>
                <w:sz w:val="16"/>
              </w:rPr>
              <w:t>2021</w:t>
            </w:r>
          </w:p>
        </w:tc>
        <w:tc>
          <w:tcPr>
            <w:tcW w:type="dxa" w:w="3742"/>
            <w:shd w:val="clear" w:color="auto" w:fill="F2F5F8"/>
          </w:tcPr>
          <w:p>
            <w:pPr>
              <w:keepNext/>
              <w:spacing w:after="20" w:before="20" w:line="240" w:lineRule="auto"/>
              <w:jc w:val="left"/>
            </w:pPr>
            <w:r/>
            <w:r>
              <w:rPr>
                <w:sz w:val="16"/>
              </w:rPr>
              <w:t>M3 Lente A (mismo tipo + gubernatura)</w:t>
            </w:r>
          </w:p>
        </w:tc>
        <w:tc>
          <w:tcPr>
            <w:tcW w:type="dxa" w:w="1077"/>
            <w:shd w:val="clear" w:color="auto" w:fill="F2F5F8"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sz w:val="16"/>
              </w:rPr>
              <w:t>6.18</w:t>
            </w:r>
          </w:p>
        </w:tc>
        <w:tc>
          <w:tcPr>
            <w:tcW w:type="dxa" w:w="1304"/>
            <w:shd w:val="clear" w:color="auto" w:fill="F2F5F8"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sz w:val="16"/>
              </w:rPr>
              <w:t>50.0%</w:t>
            </w:r>
          </w:p>
        </w:tc>
        <w:tc>
          <w:tcPr>
            <w:tcW w:type="dxa" w:w="1361"/>
            <w:shd w:val="clear" w:color="auto" w:fill="F2F5F8"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sz w:val="16"/>
              </w:rPr>
              <w:t>4/8</w:t>
            </w:r>
          </w:p>
        </w:tc>
        <w:tc>
          <w:tcPr>
            <w:tcW w:type="dxa" w:w="1020"/>
            <w:shd w:val="clear" w:color="auto" w:fill="F2F5F8"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sz w:val="16"/>
              </w:rPr>
              <w:t>0.40</w:t>
            </w:r>
          </w:p>
        </w:tc>
      </w:tr>
      <w:tr>
        <w:trPr>
          <w:cantSplit w:val="true"/>
        </w:trPr>
        <w:tc>
          <w:tcPr>
            <w:tcW w:type="dxa" w:w="964"/>
          </w:tcPr>
          <w:p>
            <w:pPr>
              <w:keepNext/>
              <w:spacing w:after="20" w:before="20" w:line="240" w:lineRule="auto"/>
              <w:jc w:val="left"/>
            </w:pPr>
            <w:r/>
            <w:r>
              <w:rPr>
                <w:sz w:val="16"/>
              </w:rPr>
              <w:t>2021</w:t>
            </w:r>
          </w:p>
        </w:tc>
        <w:tc>
          <w:tcPr>
            <w:tcW w:type="dxa" w:w="3742"/>
          </w:tcPr>
          <w:p>
            <w:pPr>
              <w:keepNext/>
              <w:spacing w:after="20" w:before="20" w:line="240" w:lineRule="auto"/>
              <w:jc w:val="left"/>
            </w:pPr>
            <w:r/>
            <w:r>
              <w:rPr>
                <w:sz w:val="16"/>
              </w:rPr>
              <w:t>M4 Lente B (reciente + gubernatura)</w:t>
            </w:r>
          </w:p>
        </w:tc>
        <w:tc>
          <w:tcPr>
            <w:tcW w:type="dxa" w:w="1077"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sz w:val="16"/>
              </w:rPr>
              <w:t>4.68</w:t>
            </w:r>
          </w:p>
        </w:tc>
        <w:tc>
          <w:tcPr>
            <w:tcW w:type="dxa" w:w="1304"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sz w:val="16"/>
              </w:rPr>
              <w:t>75.0%</w:t>
            </w:r>
          </w:p>
        </w:tc>
        <w:tc>
          <w:tcPr>
            <w:tcW w:type="dxa" w:w="1361"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sz w:val="16"/>
              </w:rPr>
              <w:t>7/8</w:t>
            </w:r>
          </w:p>
        </w:tc>
        <w:tc>
          <w:tcPr>
            <w:tcW w:type="dxa" w:w="1020"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sz w:val="16"/>
              </w:rPr>
              <w:t>0.72</w:t>
            </w:r>
          </w:p>
        </w:tc>
      </w:tr>
      <w:tr>
        <w:trPr>
          <w:cantSplit w:val="true"/>
        </w:trPr>
        <w:tc>
          <w:tcPr>
            <w:tcW w:type="dxa" w:w="964"/>
            <w:shd w:val="clear" w:color="auto" w:fill="F2F5F8"/>
          </w:tcPr>
          <w:p>
            <w:pPr>
              <w:keepNext/>
              <w:spacing w:after="20" w:before="20" w:line="240" w:lineRule="auto"/>
              <w:jc w:val="left"/>
            </w:pPr>
            <w:r/>
            <w:r>
              <w:rPr>
                <w:sz w:val="16"/>
              </w:rPr>
              <w:t>2021</w:t>
            </w:r>
          </w:p>
        </w:tc>
        <w:tc>
          <w:tcPr>
            <w:tcW w:type="dxa" w:w="3742"/>
            <w:shd w:val="clear" w:color="auto" w:fill="F2F5F8"/>
          </w:tcPr>
          <w:p>
            <w:pPr>
              <w:keepNext/>
              <w:spacing w:after="20" w:before="20" w:line="240" w:lineRule="auto"/>
              <w:jc w:val="left"/>
            </w:pPr>
            <w:r/>
            <w:r>
              <w:rPr>
                <w:sz w:val="16"/>
              </w:rPr>
              <w:t>M5 MODELO FINAL (A+B)/2</w:t>
            </w:r>
          </w:p>
        </w:tc>
        <w:tc>
          <w:tcPr>
            <w:tcW w:type="dxa" w:w="1077"/>
            <w:shd w:val="clear" w:color="auto" w:fill="F2F5F8"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sz w:val="16"/>
              </w:rPr>
              <w:t>4.19</w:t>
            </w:r>
          </w:p>
        </w:tc>
        <w:tc>
          <w:tcPr>
            <w:tcW w:type="dxa" w:w="1304"/>
            <w:shd w:val="clear" w:color="auto" w:fill="F2F5F8"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sz w:val="16"/>
              </w:rPr>
              <w:t>59.4%</w:t>
            </w:r>
          </w:p>
        </w:tc>
        <w:tc>
          <w:tcPr>
            <w:tcW w:type="dxa" w:w="1361"/>
            <w:shd w:val="clear" w:color="auto" w:fill="F2F5F8"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sz w:val="16"/>
              </w:rPr>
              <w:t>5/8</w:t>
            </w:r>
          </w:p>
        </w:tc>
        <w:tc>
          <w:tcPr>
            <w:tcW w:type="dxa" w:w="1020"/>
            <w:shd w:val="clear" w:color="auto" w:fill="F2F5F8"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sz w:val="16"/>
              </w:rPr>
              <w:t>0.58</w:t>
            </w:r>
          </w:p>
        </w:tc>
      </w:tr>
      <w:tr>
        <w:trPr>
          <w:cantSplit w:val="true"/>
        </w:trPr>
        <w:tc>
          <w:tcPr>
            <w:tcW w:type="dxa" w:w="964"/>
          </w:tcPr>
          <w:p>
            <w:pPr>
              <w:keepNext/>
              <w:spacing w:after="20" w:before="20" w:line="240" w:lineRule="auto"/>
              <w:jc w:val="left"/>
            </w:pPr>
            <w:r/>
            <w:r>
              <w:rPr>
                <w:sz w:val="16"/>
              </w:rPr>
              <w:t>2024</w:t>
            </w:r>
          </w:p>
        </w:tc>
        <w:tc>
          <w:tcPr>
            <w:tcW w:type="dxa" w:w="3742"/>
          </w:tcPr>
          <w:p>
            <w:pPr>
              <w:keepNext/>
              <w:spacing w:after="20" w:before="20" w:line="240" w:lineRule="auto"/>
              <w:jc w:val="left"/>
            </w:pPr>
            <w:r/>
            <w:r>
              <w:rPr>
                <w:sz w:val="16"/>
              </w:rPr>
              <w:t>M0 Ingenuo mismo tipo (t-6)</w:t>
            </w:r>
          </w:p>
        </w:tc>
        <w:tc>
          <w:tcPr>
            <w:tcW w:type="dxa" w:w="1077"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sz w:val="16"/>
              </w:rPr>
              <w:t>3.79</w:t>
            </w:r>
          </w:p>
        </w:tc>
        <w:tc>
          <w:tcPr>
            <w:tcW w:type="dxa" w:w="1304"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sz w:val="16"/>
              </w:rPr>
              <w:t>62.5%</w:t>
            </w:r>
          </w:p>
        </w:tc>
        <w:tc>
          <w:tcPr>
            <w:tcW w:type="dxa" w:w="1361"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sz w:val="16"/>
              </w:rPr>
              <w:t>5/8</w:t>
            </w:r>
          </w:p>
        </w:tc>
        <w:tc>
          <w:tcPr>
            <w:tcW w:type="dxa" w:w="1020"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sz w:val="16"/>
              </w:rPr>
              <w:t>0.85</w:t>
            </w:r>
          </w:p>
        </w:tc>
      </w:tr>
      <w:tr>
        <w:trPr>
          <w:cantSplit w:val="true"/>
        </w:trPr>
        <w:tc>
          <w:tcPr>
            <w:tcW w:type="dxa" w:w="964"/>
            <w:shd w:val="clear" w:color="auto" w:fill="F2F5F8"/>
          </w:tcPr>
          <w:p>
            <w:pPr>
              <w:keepNext/>
              <w:spacing w:after="20" w:before="20" w:line="240" w:lineRule="auto"/>
              <w:jc w:val="left"/>
            </w:pPr>
            <w:r/>
            <w:r>
              <w:rPr>
                <w:sz w:val="16"/>
              </w:rPr>
              <w:t>2024</w:t>
            </w:r>
          </w:p>
        </w:tc>
        <w:tc>
          <w:tcPr>
            <w:tcW w:type="dxa" w:w="3742"/>
            <w:shd w:val="clear" w:color="auto" w:fill="F2F5F8"/>
          </w:tcPr>
          <w:p>
            <w:pPr>
              <w:keepNext/>
              <w:spacing w:after="20" w:before="20" w:line="240" w:lineRule="auto"/>
              <w:jc w:val="left"/>
            </w:pPr>
            <w:r/>
            <w:r>
              <w:rPr>
                <w:sz w:val="16"/>
              </w:rPr>
              <w:t>M1 Ingenuo reciente (t-3)</w:t>
            </w:r>
          </w:p>
        </w:tc>
        <w:tc>
          <w:tcPr>
            <w:tcW w:type="dxa" w:w="1077"/>
            <w:shd w:val="clear" w:color="auto" w:fill="F2F5F8"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sz w:val="16"/>
              </w:rPr>
              <w:t>6.61</w:t>
            </w:r>
          </w:p>
        </w:tc>
        <w:tc>
          <w:tcPr>
            <w:tcW w:type="dxa" w:w="1304"/>
            <w:shd w:val="clear" w:color="auto" w:fill="F2F5F8"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sz w:val="16"/>
              </w:rPr>
              <w:t>59.4%</w:t>
            </w:r>
          </w:p>
        </w:tc>
        <w:tc>
          <w:tcPr>
            <w:tcW w:type="dxa" w:w="1361"/>
            <w:shd w:val="clear" w:color="auto" w:fill="F2F5F8"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sz w:val="16"/>
              </w:rPr>
              <w:t>5/8</w:t>
            </w:r>
          </w:p>
        </w:tc>
        <w:tc>
          <w:tcPr>
            <w:tcW w:type="dxa" w:w="1020"/>
            <w:shd w:val="clear" w:color="auto" w:fill="F2F5F8"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sz w:val="16"/>
              </w:rPr>
              <w:t>0.73</w:t>
            </w:r>
          </w:p>
        </w:tc>
      </w:tr>
      <w:tr>
        <w:trPr>
          <w:cantSplit w:val="true"/>
        </w:trPr>
        <w:tc>
          <w:tcPr>
            <w:tcW w:type="dxa" w:w="964"/>
          </w:tcPr>
          <w:p>
            <w:pPr>
              <w:keepNext/>
              <w:spacing w:after="20" w:before="20" w:line="240" w:lineRule="auto"/>
              <w:jc w:val="left"/>
            </w:pPr>
            <w:r/>
            <w:r>
              <w:rPr>
                <w:sz w:val="16"/>
              </w:rPr>
              <w:t>2024</w:t>
            </w:r>
          </w:p>
        </w:tc>
        <w:tc>
          <w:tcPr>
            <w:tcW w:type="dxa" w:w="3742"/>
          </w:tcPr>
          <w:p>
            <w:pPr>
              <w:keepNext/>
              <w:spacing w:after="20" w:before="20" w:line="240" w:lineRule="auto"/>
              <w:jc w:val="left"/>
            </w:pPr>
            <w:r/>
            <w:r>
              <w:rPr>
                <w:sz w:val="16"/>
              </w:rPr>
              <w:t>M2 Lente A sin gubernatura</w:t>
            </w:r>
          </w:p>
        </w:tc>
        <w:tc>
          <w:tcPr>
            <w:tcW w:type="dxa" w:w="1077"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sz w:val="16"/>
              </w:rPr>
              <w:t>3.65</w:t>
            </w:r>
          </w:p>
        </w:tc>
        <w:tc>
          <w:tcPr>
            <w:tcW w:type="dxa" w:w="1304"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sz w:val="16"/>
              </w:rPr>
              <w:t>62.5%</w:t>
            </w:r>
          </w:p>
        </w:tc>
        <w:tc>
          <w:tcPr>
            <w:tcW w:type="dxa" w:w="1361"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sz w:val="16"/>
              </w:rPr>
              <w:t>5/8</w:t>
            </w:r>
          </w:p>
        </w:tc>
        <w:tc>
          <w:tcPr>
            <w:tcW w:type="dxa" w:w="1020"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sz w:val="16"/>
              </w:rPr>
              <w:t>0.85</w:t>
            </w:r>
          </w:p>
        </w:tc>
      </w:tr>
      <w:tr>
        <w:trPr>
          <w:cantSplit w:val="true"/>
        </w:trPr>
        <w:tc>
          <w:tcPr>
            <w:tcW w:type="dxa" w:w="964"/>
            <w:shd w:val="clear" w:color="auto" w:fill="F2F5F8"/>
          </w:tcPr>
          <w:p>
            <w:pPr>
              <w:keepNext/>
              <w:spacing w:after="20" w:before="20" w:line="240" w:lineRule="auto"/>
              <w:jc w:val="left"/>
            </w:pPr>
            <w:r/>
            <w:r>
              <w:rPr>
                <w:sz w:val="16"/>
              </w:rPr>
              <w:t>2024</w:t>
            </w:r>
          </w:p>
        </w:tc>
        <w:tc>
          <w:tcPr>
            <w:tcW w:type="dxa" w:w="3742"/>
            <w:shd w:val="clear" w:color="auto" w:fill="F2F5F8"/>
          </w:tcPr>
          <w:p>
            <w:pPr>
              <w:keepNext/>
              <w:spacing w:after="20" w:before="20" w:line="240" w:lineRule="auto"/>
              <w:jc w:val="left"/>
            </w:pPr>
            <w:r/>
            <w:r>
              <w:rPr>
                <w:sz w:val="16"/>
              </w:rPr>
              <w:t>M3 Lente A (mismo tipo + gubernatura)</w:t>
            </w:r>
          </w:p>
        </w:tc>
        <w:tc>
          <w:tcPr>
            <w:tcW w:type="dxa" w:w="1077"/>
            <w:shd w:val="clear" w:color="auto" w:fill="F2F5F8"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sz w:val="16"/>
              </w:rPr>
              <w:t>2.99</w:t>
            </w:r>
          </w:p>
        </w:tc>
        <w:tc>
          <w:tcPr>
            <w:tcW w:type="dxa" w:w="1304"/>
            <w:shd w:val="clear" w:color="auto" w:fill="F2F5F8"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sz w:val="16"/>
              </w:rPr>
              <w:t>62.5%</w:t>
            </w:r>
          </w:p>
        </w:tc>
        <w:tc>
          <w:tcPr>
            <w:tcW w:type="dxa" w:w="1361"/>
            <w:shd w:val="clear" w:color="auto" w:fill="F2F5F8"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sz w:val="16"/>
              </w:rPr>
              <w:t>5/8</w:t>
            </w:r>
          </w:p>
        </w:tc>
        <w:tc>
          <w:tcPr>
            <w:tcW w:type="dxa" w:w="1020"/>
            <w:shd w:val="clear" w:color="auto" w:fill="F2F5F8"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sz w:val="16"/>
              </w:rPr>
              <w:t>0.85</w:t>
            </w:r>
          </w:p>
        </w:tc>
      </w:tr>
      <w:tr>
        <w:trPr>
          <w:cantSplit w:val="true"/>
        </w:trPr>
        <w:tc>
          <w:tcPr>
            <w:tcW w:type="dxa" w:w="964"/>
          </w:tcPr>
          <w:p>
            <w:pPr>
              <w:keepNext/>
              <w:spacing w:after="20" w:before="20" w:line="240" w:lineRule="auto"/>
              <w:jc w:val="left"/>
            </w:pPr>
            <w:r/>
            <w:r>
              <w:rPr>
                <w:sz w:val="16"/>
              </w:rPr>
              <w:t>2024</w:t>
            </w:r>
          </w:p>
        </w:tc>
        <w:tc>
          <w:tcPr>
            <w:tcW w:type="dxa" w:w="3742"/>
          </w:tcPr>
          <w:p>
            <w:pPr>
              <w:keepNext/>
              <w:spacing w:after="20" w:before="20" w:line="240" w:lineRule="auto"/>
              <w:jc w:val="left"/>
            </w:pPr>
            <w:r/>
            <w:r>
              <w:rPr>
                <w:sz w:val="16"/>
              </w:rPr>
              <w:t>M4 Lente B (reciente + gubernatura)</w:t>
            </w:r>
          </w:p>
        </w:tc>
        <w:tc>
          <w:tcPr>
            <w:tcW w:type="dxa" w:w="1077"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sz w:val="16"/>
              </w:rPr>
              <w:t>8.23</w:t>
            </w:r>
          </w:p>
        </w:tc>
        <w:tc>
          <w:tcPr>
            <w:tcW w:type="dxa" w:w="1304"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sz w:val="16"/>
              </w:rPr>
              <w:t>81.2%</w:t>
            </w:r>
          </w:p>
        </w:tc>
        <w:tc>
          <w:tcPr>
            <w:tcW w:type="dxa" w:w="1361"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sz w:val="16"/>
              </w:rPr>
              <w:t>8/8</w:t>
            </w:r>
          </w:p>
        </w:tc>
        <w:tc>
          <w:tcPr>
            <w:tcW w:type="dxa" w:w="1020"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sz w:val="16"/>
              </w:rPr>
              <w:t>0.84</w:t>
            </w:r>
          </w:p>
        </w:tc>
      </w:tr>
      <w:tr>
        <w:trPr>
          <w:cantSplit w:val="true"/>
        </w:trPr>
        <w:tc>
          <w:tcPr>
            <w:tcW w:type="dxa" w:w="964"/>
            <w:shd w:val="clear" w:color="auto" w:fill="F2F5F8"/>
          </w:tcPr>
          <w:p>
            <w:pPr>
              <w:keepNext w:val="0"/>
              <w:spacing w:after="20" w:before="20" w:line="240" w:lineRule="auto"/>
              <w:jc w:val="left"/>
            </w:pPr>
            <w:r/>
            <w:r>
              <w:rPr>
                <w:sz w:val="16"/>
              </w:rPr>
              <w:t>2024</w:t>
            </w:r>
          </w:p>
        </w:tc>
        <w:tc>
          <w:tcPr>
            <w:tcW w:type="dxa" w:w="3742"/>
            <w:shd w:val="clear" w:color="auto" w:fill="F2F5F8"/>
          </w:tcPr>
          <w:p>
            <w:pPr>
              <w:keepNext w:val="0"/>
              <w:spacing w:after="20" w:before="20" w:line="240" w:lineRule="auto"/>
              <w:jc w:val="left"/>
            </w:pPr>
            <w:r/>
            <w:r>
              <w:rPr>
                <w:sz w:val="16"/>
              </w:rPr>
              <w:t>M5 MODELO FINAL (A+B)/2</w:t>
            </w:r>
          </w:p>
        </w:tc>
        <w:tc>
          <w:tcPr>
            <w:tcW w:type="dxa" w:w="1077"/>
            <w:shd w:val="clear" w:color="auto" w:fill="F2F5F8"/>
          </w:tcPr>
          <w:p>
            <w:pPr>
              <w:keepNext w:val="0"/>
              <w:spacing w:after="20" w:before="20" w:line="240" w:lineRule="auto"/>
              <w:jc w:val="center"/>
            </w:pPr>
            <w:r/>
            <w:r>
              <w:rPr>
                <w:sz w:val="16"/>
              </w:rPr>
              <w:t>5.05</w:t>
            </w:r>
          </w:p>
        </w:tc>
        <w:tc>
          <w:tcPr>
            <w:tcW w:type="dxa" w:w="1304"/>
            <w:shd w:val="clear" w:color="auto" w:fill="F2F5F8"/>
          </w:tcPr>
          <w:p>
            <w:pPr>
              <w:keepNext w:val="0"/>
              <w:spacing w:after="20" w:before="20" w:line="240" w:lineRule="auto"/>
              <w:jc w:val="center"/>
            </w:pPr>
            <w:r/>
            <w:r>
              <w:rPr>
                <w:sz w:val="16"/>
              </w:rPr>
              <w:t>68.8%</w:t>
            </w:r>
          </w:p>
        </w:tc>
        <w:tc>
          <w:tcPr>
            <w:tcW w:type="dxa" w:w="1361"/>
            <w:shd w:val="clear" w:color="auto" w:fill="F2F5F8"/>
          </w:tcPr>
          <w:p>
            <w:pPr>
              <w:keepNext w:val="0"/>
              <w:spacing w:after="20" w:before="20" w:line="240" w:lineRule="auto"/>
              <w:jc w:val="center"/>
            </w:pPr>
            <w:r/>
            <w:r>
              <w:rPr>
                <w:sz w:val="16"/>
              </w:rPr>
              <w:t>6/8</w:t>
            </w:r>
          </w:p>
        </w:tc>
        <w:tc>
          <w:tcPr>
            <w:tcW w:type="dxa" w:w="1020"/>
            <w:shd w:val="clear" w:color="auto" w:fill="F2F5F8"/>
          </w:tcPr>
          <w:p>
            <w:pPr>
              <w:keepNext w:val="0"/>
              <w:spacing w:after="20" w:before="20" w:line="240" w:lineRule="auto"/>
              <w:jc w:val="center"/>
            </w:pPr>
            <w:r/>
            <w:r>
              <w:rPr>
                <w:sz w:val="16"/>
              </w:rPr>
              <w:t>0.85</w:t>
            </w:r>
          </w:p>
        </w:tc>
      </w:tr>
    </w:tbl>
    <w:p>
      <w:pPr>
        <w:spacing w:after="40"/>
      </w:pPr>
    </w:p>
    <w:p>
      <w:pPr>
        <w:keepNext/>
        <w:spacing w:after="2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760000" cy="216509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validacion_backtes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1650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264" w:lineRule="auto"/>
        <w:jc w:val="center"/>
      </w:pPr>
      <w:r>
        <w:rPr>
          <w:b/>
          <w:color w:val="7D8894"/>
          <w:sz w:val="18"/>
        </w:rPr>
        <w:t>Figura 3.</w:t>
      </w:r>
      <w:r>
        <w:rPr>
          <w:b w:val="0"/>
          <w:color w:val="7D8894"/>
          <w:sz w:val="18"/>
        </w:rPr>
        <w:t xml:space="preserve"> Promedio de las dos pruebas por modelo.</w:t>
      </w:r>
    </w:p>
    <w:p>
      <w:pPr>
        <w:spacing w:after="100"/>
        <w:jc w:val="both"/>
      </w:pPr>
      <w:r>
        <w:rPr>
          <w:b w:val="0"/>
        </w:rPr>
        <w:t xml:space="preserve">El lente A acierta mejor el </w:t>
      </w:r>
      <w:r>
        <w:rPr>
          <w:b/>
        </w:rPr>
        <w:t>nivel</w:t>
      </w:r>
      <w:r>
        <w:rPr>
          <w:b w:val="0"/>
        </w:rPr>
        <w:t xml:space="preserve"> de la abstención y el lente B </w:t>
      </w:r>
      <w:r>
        <w:rPr>
          <w:b/>
        </w:rPr>
        <w:t>ordena</w:t>
      </w:r>
      <w:r>
        <w:rPr>
          <w:b w:val="0"/>
        </w:rPr>
        <w:t xml:space="preserve"> mejor a las entidades por riesgo; ninguno domina en todo. El promedio de ambos (M5) reduce el error del modelo ingenuo de 5.81 a 4.62 pp y eleva el acierto del color de 54.7% a 64.1% con una correlación de rangos de 0.72. Por eso es el modelo elegido, y su error medio (±4.62 pp) se reporta como banda de incertidumbre en cada proyección.</w:t>
      </w:r>
    </w:p>
    <w:p>
      <w:pPr>
        <w:pStyle w:val="Heading1"/>
      </w:pPr>
      <w:r>
        <w:t>4. Semáforo de riesgo territorial 2027 y simulación de escenarios</w:t>
      </w:r>
    </w:p>
    <w:p>
      <w:pPr>
        <w:pStyle w:val="Heading2"/>
      </w:pPr>
      <w:r>
        <w:t>4.1 Reglas del semáforo</w:t>
      </w:r>
    </w:p>
    <w:p>
      <w:pPr>
        <w:spacing w:after="100"/>
        <w:jc w:val="both"/>
      </w:pPr>
      <w:r>
        <w:rPr>
          <w:b w:val="0"/>
        </w:rPr>
        <w:t xml:space="preserve">El semáforo clasifica a las entidades por cuartiles de la abstención proyectada sin intervención: </w:t>
      </w:r>
      <w:r>
        <w:rPr>
          <w:b/>
        </w:rPr>
        <w:t>Rojo</w:t>
      </w:r>
      <w:r>
        <w:rPr>
          <w:b w:val="0"/>
        </w:rPr>
        <w:t xml:space="preserve"> si es mayor o igual a 51.47% (cuartil superior), </w:t>
      </w:r>
      <w:r>
        <w:rPr>
          <w:b/>
        </w:rPr>
        <w:t>Verde</w:t>
      </w:r>
      <w:r>
        <w:rPr>
          <w:b w:val="0"/>
        </w:rPr>
        <w:t xml:space="preserve"> si es menor o igual a 45.87% (cuartil inferior) y </w:t>
      </w:r>
      <w:r>
        <w:rPr>
          <w:b/>
        </w:rPr>
        <w:t>Amarillo</w:t>
      </w:r>
      <w:r>
        <w:rPr>
          <w:b w:val="0"/>
        </w:rPr>
        <w:t xml:space="preserve"> en el resto. Los umbrales se fijan con el Escenario 1 y se mantienen en los demás escenarios, de modo que un cambio de color refleja solo el efecto simulado.</w:t>
      </w:r>
    </w:p>
    <w:p>
      <w:pPr>
        <w:pStyle w:val="Heading2"/>
      </w:pPr>
      <w:r>
        <w:t>4.2 Escenarios</w:t>
      </w:r>
    </w:p>
    <w:p>
      <w:pPr>
        <w:pStyle w:val="ListBullet"/>
        <w:keepNext/>
        <w:spacing w:after="40" w:line="324" w:lineRule="auto"/>
        <w:jc w:val="both"/>
      </w:pPr>
      <w:r>
        <w:rPr>
          <w:b/>
        </w:rPr>
        <w:t>Escenario 1 · Sin intervención (inercia).</w:t>
      </w:r>
      <w:r>
        <w:rPr>
          <w:b w:val="0"/>
        </w:rPr>
        <w:t xml:space="preserve"> Abstención nacional de 49.10%: 8 entidades en rojo, 16 en amarillo y 8 en verde; se esperan 50,772,989 personas abstencionistas.</w:t>
      </w:r>
    </w:p>
    <w:p>
      <w:pPr>
        <w:pStyle w:val="ListBullet"/>
        <w:keepNext/>
        <w:spacing w:after="40" w:line="324" w:lineRule="auto"/>
        <w:jc w:val="both"/>
      </w:pPr>
      <w:r>
        <w:rPr>
          <w:b/>
        </w:rPr>
        <w:t>Escenario 2A · Intervención nacional.</w:t>
      </w:r>
      <w:r>
        <w:rPr>
          <w:b w:val="0"/>
        </w:rPr>
        <w:t xml:space="preserve"> Supuesto: las acciones de educación cívica reducen 15% (relativo) la abstención de las personas de 18–29 años y de las secciones rurales en las 32 entidades. Resultado: 45.96% de abstención, 4 entidades en rojo, 13 entidades bajan de color y 3,247,560 personas votarían.</w:t>
      </w:r>
    </w:p>
    <w:p>
      <w:pPr>
        <w:pStyle w:val="ListBullet"/>
        <w:keepNext/>
        <w:spacing w:after="40" w:line="324" w:lineRule="auto"/>
        <w:jc w:val="both"/>
      </w:pPr>
      <w:r>
        <w:rPr>
          <w:b/>
        </w:rPr>
        <w:t>Escenario 2B · Priorización presupuestaria.</w:t>
      </w:r>
      <w:r>
        <w:rPr>
          <w:b w:val="0"/>
        </w:rPr>
        <w:t xml:space="preserve"> La misma intervención solo en las 8 entidades en rojo: 48.18% de abstención, 4 entidades en rojo y 952,822 personas recuperadas.</w:t>
      </w:r>
    </w:p>
    <w:p>
      <w:pPr>
        <w:pStyle w:val="ListBullet"/>
        <w:spacing w:after="40" w:line="324" w:lineRule="auto"/>
        <w:jc w:val="both"/>
      </w:pPr>
      <w:r>
        <w:rPr>
          <w:b/>
        </w:rPr>
        <w:t>Horizonte 2030.</w:t>
      </w:r>
      <w:r>
        <w:rPr>
          <w:b w:val="0"/>
        </w:rPr>
        <w:t xml:space="preserve"> Con el mismo método, la presidencial de 2030 tendría 39.6% de abstención sin intervención: el riesgo es propio del ciclo intermedio, lo que justifica concentrar el esfuerzo en 2027.</w:t>
      </w:r>
    </w:p>
    <w:p>
      <w:pPr>
        <w:keepNext/>
        <w:spacing w:after="2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328000" cy="270628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pa_semaforo_sin_vs_co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2706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264" w:lineRule="auto"/>
        <w:jc w:val="center"/>
      </w:pPr>
      <w:r>
        <w:rPr>
          <w:b/>
          <w:color w:val="7D8894"/>
          <w:sz w:val="18"/>
        </w:rPr>
        <w:t>Figura 4.</w:t>
      </w:r>
      <w:r>
        <w:rPr>
          <w:b w:val="0"/>
          <w:color w:val="7D8894"/>
          <w:sz w:val="18"/>
        </w:rPr>
        <w:t xml:space="preserve"> Semáforo estatal 2027: Escenario 1 frente a Escenario 2A.</w:t>
      </w:r>
    </w:p>
    <w:p>
      <w:pPr>
        <w:keepNext/>
        <w:spacing w:after="40" w:line="264" w:lineRule="auto"/>
        <w:jc w:val="left"/>
      </w:pPr>
      <w:r>
        <w:rPr>
          <w:b/>
          <w:sz w:val="19"/>
        </w:rPr>
        <w:t>Tabla 9.</w:t>
      </w:r>
      <w:r>
        <w:rPr>
          <w:b w:val="0"/>
          <w:sz w:val="19"/>
        </w:rPr>
        <w:t xml:space="preserve"> Semáforo de las 32 entidades (abstención %, ordenadas de mayor a menor riesgo)</w:t>
      </w:r>
    </w:p>
    <w:tbl>
      <w:tblPr>
        <w:tblW w:type="dxa" w:w="9695"/>
        <w:jc w:val="center"/>
        <w:tblLayout w:type="fixed"/>
        <w:tblLook w:firstColumn="1" w:firstRow="1" w:lastColumn="0" w:lastRow="0" w:noHBand="0" w:noVBand="1" w:val="04A0"/>
        <w:tblBorders>
          <w:top w:val="single" w:sz="4" w:color="D5DCE3"/>
          <w:bottom w:val="single" w:sz="4" w:color="D5DCE3"/>
          <w:insideH w:val="single" w:sz="4" w:color="D5DCE3"/>
          <w:left w:val="nil"/>
          <w:right w:val="nil"/>
          <w:insideV w:val="nil"/>
        </w:tblBorders>
        <w:tblLayout w:type="fixed"/>
      </w:tblPr>
      <w:tblGrid>
        <w:gridCol w:w="2041"/>
        <w:gridCol w:w="737"/>
        <w:gridCol w:w="793"/>
        <w:gridCol w:w="793"/>
        <w:gridCol w:w="1077"/>
        <w:gridCol w:w="963"/>
        <w:gridCol w:w="793"/>
        <w:gridCol w:w="963"/>
        <w:gridCol w:w="793"/>
        <w:gridCol w:w="737"/>
      </w:tblGrid>
      <w:tr>
        <w:trPr>
          <w:cantSplit w:val="true"/>
          <w:tblHeader w:val="true"/>
        </w:trPr>
        <w:tc>
          <w:tcPr>
            <w:tcW w:type="dxa" w:w="2041"/>
            <w:shd w:val="clear" w:color="auto" w:fill="23395B"/>
          </w:tcPr>
          <w:p>
            <w:pPr>
              <w:keepNext w:val="0"/>
              <w:spacing w:after="20" w:before="20" w:line="240" w:lineRule="auto"/>
              <w:jc w:val="left"/>
            </w:pPr>
            <w:r/>
            <w:r>
              <w:rPr>
                <w:b/>
                <w:color w:val="FFFFFF"/>
                <w:sz w:val="15"/>
              </w:rPr>
              <w:t>Entidad</w:t>
            </w:r>
          </w:p>
        </w:tc>
        <w:tc>
          <w:tcPr>
            <w:tcW w:type="dxa" w:w="737"/>
            <w:shd w:val="clear" w:color="auto" w:fill="23395B"/>
          </w:tcPr>
          <w:p>
            <w:pPr>
              <w:keepNext w:val="0"/>
              <w:spacing w:after="20" w:before="20" w:line="240" w:lineRule="auto"/>
              <w:jc w:val="center"/>
            </w:pPr>
            <w:r/>
            <w:r>
              <w:rPr>
                <w:b/>
                <w:color w:val="FFFFFF"/>
                <w:sz w:val="15"/>
              </w:rPr>
              <w:t>Gob. 2027</w:t>
            </w:r>
          </w:p>
        </w:tc>
        <w:tc>
          <w:tcPr>
            <w:tcW w:type="dxa" w:w="794"/>
            <w:shd w:val="clear" w:color="auto" w:fill="23395B"/>
          </w:tcPr>
          <w:p>
            <w:pPr>
              <w:keepNext w:val="0"/>
              <w:spacing w:after="20" w:before="20" w:line="240" w:lineRule="auto"/>
              <w:jc w:val="center"/>
            </w:pPr>
            <w:r/>
            <w:r>
              <w:rPr>
                <w:b/>
                <w:color w:val="FFFFFF"/>
                <w:sz w:val="15"/>
              </w:rPr>
              <w:t>Abst. 2024</w:t>
            </w:r>
          </w:p>
        </w:tc>
        <w:tc>
          <w:tcPr>
            <w:tcW w:type="dxa" w:w="794"/>
            <w:shd w:val="clear" w:color="auto" w:fill="23395B"/>
          </w:tcPr>
          <w:p>
            <w:pPr>
              <w:keepNext w:val="0"/>
              <w:spacing w:after="20" w:before="20" w:line="240" w:lineRule="auto"/>
              <w:jc w:val="center"/>
            </w:pPr>
            <w:r/>
            <w:r>
              <w:rPr>
                <w:b/>
                <w:color w:val="FFFFFF"/>
                <w:sz w:val="15"/>
              </w:rPr>
              <w:t>2027 sin</w:t>
            </w:r>
          </w:p>
        </w:tc>
        <w:tc>
          <w:tcPr>
            <w:tcW w:type="dxa" w:w="1077"/>
            <w:shd w:val="clear" w:color="auto" w:fill="23395B"/>
          </w:tcPr>
          <w:p>
            <w:pPr>
              <w:keepNext w:val="0"/>
              <w:spacing w:after="20" w:before="20" w:line="240" w:lineRule="auto"/>
              <w:jc w:val="center"/>
            </w:pPr>
            <w:r/>
            <w:r>
              <w:rPr>
                <w:b/>
                <w:color w:val="FFFFFF"/>
                <w:sz w:val="15"/>
              </w:rPr>
              <w:t>Banda</w:t>
            </w:r>
          </w:p>
        </w:tc>
        <w:tc>
          <w:tcPr>
            <w:tcW w:type="dxa" w:w="964"/>
            <w:shd w:val="clear" w:color="auto" w:fill="23395B"/>
          </w:tcPr>
          <w:p>
            <w:pPr>
              <w:keepNext w:val="0"/>
              <w:spacing w:after="20" w:before="20" w:line="240" w:lineRule="auto"/>
              <w:jc w:val="center"/>
            </w:pPr>
            <w:r/>
            <w:r>
              <w:rPr>
                <w:b/>
                <w:color w:val="FFFFFF"/>
                <w:sz w:val="15"/>
              </w:rPr>
              <w:t>Semáforo</w:t>
            </w:r>
          </w:p>
        </w:tc>
        <w:tc>
          <w:tcPr>
            <w:tcW w:type="dxa" w:w="794"/>
            <w:shd w:val="clear" w:color="auto" w:fill="23395B"/>
          </w:tcPr>
          <w:p>
            <w:pPr>
              <w:keepNext w:val="0"/>
              <w:spacing w:after="20" w:before="20" w:line="240" w:lineRule="auto"/>
              <w:jc w:val="center"/>
            </w:pPr>
            <w:r/>
            <w:r>
              <w:rPr>
                <w:b/>
                <w:color w:val="FFFFFF"/>
                <w:sz w:val="15"/>
              </w:rPr>
              <w:t>2027 · 2A</w:t>
            </w:r>
          </w:p>
        </w:tc>
        <w:tc>
          <w:tcPr>
            <w:tcW w:type="dxa" w:w="964"/>
            <w:shd w:val="clear" w:color="auto" w:fill="23395B"/>
          </w:tcPr>
          <w:p>
            <w:pPr>
              <w:keepNext w:val="0"/>
              <w:spacing w:after="20" w:before="20" w:line="240" w:lineRule="auto"/>
              <w:jc w:val="center"/>
            </w:pPr>
            <w:r/>
            <w:r>
              <w:rPr>
                <w:b/>
                <w:color w:val="FFFFFF"/>
                <w:sz w:val="15"/>
              </w:rPr>
              <w:t>Sem. 2A</w:t>
            </w:r>
          </w:p>
        </w:tc>
        <w:tc>
          <w:tcPr>
            <w:tcW w:type="dxa" w:w="794"/>
            <w:shd w:val="clear" w:color="auto" w:fill="23395B"/>
          </w:tcPr>
          <w:p>
            <w:pPr>
              <w:keepNext w:val="0"/>
              <w:spacing w:after="20" w:before="20" w:line="240" w:lineRule="auto"/>
              <w:jc w:val="center"/>
            </w:pPr>
            <w:r/>
            <w:r>
              <w:rPr>
                <w:b/>
                <w:color w:val="FFFFFF"/>
                <w:sz w:val="15"/>
              </w:rPr>
              <w:t>2027 · 2B</w:t>
            </w:r>
          </w:p>
        </w:tc>
        <w:tc>
          <w:tcPr>
            <w:tcW w:type="dxa" w:w="737"/>
            <w:shd w:val="clear" w:color="auto" w:fill="23395B"/>
          </w:tcPr>
          <w:p>
            <w:pPr>
              <w:keepNext w:val="0"/>
              <w:spacing w:after="20" w:before="20" w:line="240" w:lineRule="auto"/>
              <w:jc w:val="center"/>
            </w:pPr>
            <w:r/>
            <w:r>
              <w:rPr>
                <w:b/>
                <w:color w:val="FFFFFF"/>
                <w:sz w:val="15"/>
              </w:rPr>
              <w:t>2030 sin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keepNext w:val="0"/>
              <w:spacing w:after="20" w:before="20" w:line="240" w:lineRule="auto"/>
              <w:jc w:val="left"/>
            </w:pPr>
            <w:r/>
            <w:r>
              <w:rPr>
                <w:sz w:val="15"/>
              </w:rPr>
              <w:t>Baja California</w:t>
            </w:r>
          </w:p>
        </w:tc>
        <w:tc>
          <w:tcPr>
            <w:tcW w:type="dxa" w:w="737"/>
          </w:tcPr>
          <w:p>
            <w:pPr>
              <w:keepNext w:val="0"/>
              <w:spacing w:after="20" w:before="20" w:line="240" w:lineRule="auto"/>
              <w:jc w:val="center"/>
            </w:pPr>
            <w:r/>
            <w:r>
              <w:rPr>
                <w:sz w:val="15"/>
              </w:rPr>
              <w:t>Sí</w:t>
            </w:r>
          </w:p>
        </w:tc>
        <w:tc>
          <w:tcPr>
            <w:tcW w:type="dxa" w:w="794"/>
          </w:tcPr>
          <w:p>
            <w:pPr>
              <w:keepNext w:val="0"/>
              <w:spacing w:after="20" w:before="20" w:line="240" w:lineRule="auto"/>
              <w:jc w:val="center"/>
            </w:pPr>
            <w:r/>
            <w:r>
              <w:rPr>
                <w:sz w:val="15"/>
              </w:rPr>
              <w:t>53.0</w:t>
            </w:r>
          </w:p>
        </w:tc>
        <w:tc>
          <w:tcPr>
            <w:tcW w:type="dxa" w:w="794"/>
          </w:tcPr>
          <w:p>
            <w:pPr>
              <w:keepNext w:val="0"/>
              <w:spacing w:after="20" w:before="20" w:line="240" w:lineRule="auto"/>
              <w:jc w:val="center"/>
            </w:pPr>
            <w:r/>
            <w:r>
              <w:rPr>
                <w:sz w:val="15"/>
              </w:rPr>
              <w:t>60.63</w:t>
            </w:r>
          </w:p>
        </w:tc>
        <w:tc>
          <w:tcPr>
            <w:tcW w:type="dxa" w:w="1077"/>
          </w:tcPr>
          <w:p>
            <w:pPr>
              <w:keepNext w:val="0"/>
              <w:spacing w:after="20" w:before="20" w:line="240" w:lineRule="auto"/>
              <w:jc w:val="center"/>
            </w:pPr>
            <w:r/>
            <w:r>
              <w:rPr>
                <w:sz w:val="15"/>
              </w:rPr>
              <w:t>56.0–65.2</w:t>
            </w:r>
          </w:p>
        </w:tc>
        <w:tc>
          <w:tcPr>
            <w:tcW w:type="dxa" w:w="964"/>
            <w:shd w:val="clear" w:color="auto" w:fill="F4B6B6"/>
          </w:tcPr>
          <w:p>
            <w:pPr>
              <w:keepNext w:val="0"/>
              <w:spacing w:after="20" w:before="20" w:line="240" w:lineRule="auto"/>
              <w:jc w:val="center"/>
            </w:pPr>
            <w:r/>
            <w:r>
              <w:rPr>
                <w:sz w:val="15"/>
              </w:rPr>
              <w:t>Rojo</w:t>
            </w:r>
          </w:p>
        </w:tc>
        <w:tc>
          <w:tcPr>
            <w:tcW w:type="dxa" w:w="794"/>
          </w:tcPr>
          <w:p>
            <w:pPr>
              <w:keepNext w:val="0"/>
              <w:spacing w:after="20" w:before="20" w:line="240" w:lineRule="auto"/>
              <w:jc w:val="center"/>
            </w:pPr>
            <w:r/>
            <w:r>
              <w:rPr>
                <w:sz w:val="15"/>
              </w:rPr>
              <w:t>57.54</w:t>
            </w:r>
          </w:p>
        </w:tc>
        <w:tc>
          <w:tcPr>
            <w:tcW w:type="dxa" w:w="964"/>
            <w:shd w:val="clear" w:color="auto" w:fill="F4B6B6"/>
          </w:tcPr>
          <w:p>
            <w:pPr>
              <w:keepNext w:val="0"/>
              <w:spacing w:after="20" w:before="20" w:line="240" w:lineRule="auto"/>
              <w:jc w:val="center"/>
            </w:pPr>
            <w:r/>
            <w:r>
              <w:rPr>
                <w:sz w:val="15"/>
              </w:rPr>
              <w:t>Rojo</w:t>
            </w:r>
          </w:p>
        </w:tc>
        <w:tc>
          <w:tcPr>
            <w:tcW w:type="dxa" w:w="794"/>
          </w:tcPr>
          <w:p>
            <w:pPr>
              <w:keepNext w:val="0"/>
              <w:spacing w:after="20" w:before="20" w:line="240" w:lineRule="auto"/>
              <w:jc w:val="center"/>
            </w:pPr>
            <w:r/>
            <w:r>
              <w:rPr>
                <w:sz w:val="15"/>
              </w:rPr>
              <w:t>57.54</w:t>
            </w:r>
          </w:p>
        </w:tc>
        <w:tc>
          <w:tcPr>
            <w:tcW w:type="dxa" w:w="737"/>
          </w:tcPr>
          <w:p>
            <w:pPr>
              <w:keepNext w:val="0"/>
              <w:spacing w:after="20" w:before="20" w:line="240" w:lineRule="auto"/>
              <w:jc w:val="center"/>
            </w:pPr>
            <w:r/>
            <w:r>
              <w:rPr>
                <w:sz w:val="15"/>
              </w:rPr>
              <w:t>53.4</w:t>
            </w:r>
          </w:p>
        </w:tc>
      </w:tr>
      <w:tr>
        <w:trPr>
          <w:cantSplit w:val="true"/>
        </w:trPr>
        <w:tc>
          <w:tcPr>
            <w:tcW w:type="dxa" w:w="2041"/>
            <w:shd w:val="clear" w:color="auto" w:fill="F2F5F8"/>
          </w:tcPr>
          <w:p>
            <w:pPr>
              <w:keepNext w:val="0"/>
              <w:spacing w:after="20" w:before="20" w:line="240" w:lineRule="auto"/>
              <w:jc w:val="left"/>
            </w:pPr>
            <w:r/>
            <w:r>
              <w:rPr>
                <w:sz w:val="15"/>
              </w:rPr>
              <w:t>Guanajuato</w:t>
            </w:r>
          </w:p>
        </w:tc>
        <w:tc>
          <w:tcPr>
            <w:tcW w:type="dxa" w:w="737"/>
            <w:shd w:val="clear" w:color="auto" w:fill="F2F5F8"/>
          </w:tcPr>
          <w:p>
            <w:pPr>
              <w:keepNext w:val="0"/>
              <w:spacing w:after="20" w:before="20" w:line="240" w:lineRule="auto"/>
              <w:jc w:val="center"/>
            </w:pPr>
            <w:r/>
            <w:r>
              <w:rPr>
                <w:sz w:val="15"/>
              </w:rPr>
              <w:t>No</w:t>
            </w:r>
          </w:p>
        </w:tc>
        <w:tc>
          <w:tcPr>
            <w:tcW w:type="dxa" w:w="794"/>
            <w:shd w:val="clear" w:color="auto" w:fill="F2F5F8"/>
          </w:tcPr>
          <w:p>
            <w:pPr>
              <w:keepNext w:val="0"/>
              <w:spacing w:after="20" w:before="20" w:line="240" w:lineRule="auto"/>
              <w:jc w:val="center"/>
            </w:pPr>
            <w:r/>
            <w:r>
              <w:rPr>
                <w:sz w:val="15"/>
              </w:rPr>
              <w:t>44.2</w:t>
            </w:r>
          </w:p>
        </w:tc>
        <w:tc>
          <w:tcPr>
            <w:tcW w:type="dxa" w:w="794"/>
            <w:shd w:val="clear" w:color="auto" w:fill="F2F5F8"/>
          </w:tcPr>
          <w:p>
            <w:pPr>
              <w:keepNext w:val="0"/>
              <w:spacing w:after="20" w:before="20" w:line="240" w:lineRule="auto"/>
              <w:jc w:val="center"/>
            </w:pPr>
            <w:r/>
            <w:r>
              <w:rPr>
                <w:sz w:val="15"/>
              </w:rPr>
              <w:t>56.91</w:t>
            </w:r>
          </w:p>
        </w:tc>
        <w:tc>
          <w:tcPr>
            <w:tcW w:type="dxa" w:w="1077"/>
            <w:shd w:val="clear" w:color="auto" w:fill="F2F5F8"/>
          </w:tcPr>
          <w:p>
            <w:pPr>
              <w:keepNext w:val="0"/>
              <w:spacing w:after="20" w:before="20" w:line="240" w:lineRule="auto"/>
              <w:jc w:val="center"/>
            </w:pPr>
            <w:r/>
            <w:r>
              <w:rPr>
                <w:sz w:val="15"/>
              </w:rPr>
              <w:t>52.3–61.5</w:t>
            </w:r>
          </w:p>
        </w:tc>
        <w:tc>
          <w:tcPr>
            <w:tcW w:type="dxa" w:w="964"/>
            <w:shd w:val="clear" w:color="auto" w:fill="F4B6B6"/>
          </w:tcPr>
          <w:p>
            <w:pPr>
              <w:keepNext w:val="0"/>
              <w:spacing w:after="20" w:before="20" w:line="240" w:lineRule="auto"/>
              <w:jc w:val="center"/>
            </w:pPr>
            <w:r/>
            <w:r>
              <w:rPr>
                <w:sz w:val="15"/>
              </w:rPr>
              <w:t>Rojo</w:t>
            </w:r>
          </w:p>
        </w:tc>
        <w:tc>
          <w:tcPr>
            <w:tcW w:type="dxa" w:w="794"/>
            <w:shd w:val="clear" w:color="auto" w:fill="F2F5F8"/>
          </w:tcPr>
          <w:p>
            <w:pPr>
              <w:keepNext w:val="0"/>
              <w:spacing w:after="20" w:before="20" w:line="240" w:lineRule="auto"/>
              <w:jc w:val="center"/>
            </w:pPr>
            <w:r/>
            <w:r>
              <w:rPr>
                <w:sz w:val="15"/>
              </w:rPr>
              <w:t>52.57</w:t>
            </w:r>
          </w:p>
        </w:tc>
        <w:tc>
          <w:tcPr>
            <w:tcW w:type="dxa" w:w="964"/>
            <w:shd w:val="clear" w:color="auto" w:fill="F4B6B6"/>
          </w:tcPr>
          <w:p>
            <w:pPr>
              <w:keepNext w:val="0"/>
              <w:spacing w:after="20" w:before="20" w:line="240" w:lineRule="auto"/>
              <w:jc w:val="center"/>
            </w:pPr>
            <w:r/>
            <w:r>
              <w:rPr>
                <w:sz w:val="15"/>
              </w:rPr>
              <w:t>Rojo</w:t>
            </w:r>
          </w:p>
        </w:tc>
        <w:tc>
          <w:tcPr>
            <w:tcW w:type="dxa" w:w="794"/>
            <w:shd w:val="clear" w:color="auto" w:fill="F2F5F8"/>
          </w:tcPr>
          <w:p>
            <w:pPr>
              <w:keepNext w:val="0"/>
              <w:spacing w:after="20" w:before="20" w:line="240" w:lineRule="auto"/>
              <w:jc w:val="center"/>
            </w:pPr>
            <w:r/>
            <w:r>
              <w:rPr>
                <w:sz w:val="15"/>
              </w:rPr>
              <w:t>52.57</w:t>
            </w:r>
          </w:p>
        </w:tc>
        <w:tc>
          <w:tcPr>
            <w:tcW w:type="dxa" w:w="737"/>
            <w:shd w:val="clear" w:color="auto" w:fill="F2F5F8"/>
          </w:tcPr>
          <w:p>
            <w:pPr>
              <w:keepNext w:val="0"/>
              <w:spacing w:after="20" w:before="20" w:line="240" w:lineRule="auto"/>
              <w:jc w:val="center"/>
            </w:pPr>
            <w:r/>
            <w:r>
              <w:rPr>
                <w:sz w:val="15"/>
              </w:rPr>
              <w:t>43.7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keepNext w:val="0"/>
              <w:spacing w:after="20" w:before="20" w:line="240" w:lineRule="auto"/>
              <w:jc w:val="left"/>
            </w:pPr>
            <w:r/>
            <w:r>
              <w:rPr>
                <w:sz w:val="15"/>
              </w:rPr>
              <w:t>Durango</w:t>
            </w:r>
          </w:p>
        </w:tc>
        <w:tc>
          <w:tcPr>
            <w:tcW w:type="dxa" w:w="737"/>
          </w:tcPr>
          <w:p>
            <w:pPr>
              <w:keepNext w:val="0"/>
              <w:spacing w:after="20" w:before="20" w:line="240" w:lineRule="auto"/>
              <w:jc w:val="center"/>
            </w:pPr>
            <w:r/>
            <w:r>
              <w:rPr>
                <w:sz w:val="15"/>
              </w:rPr>
              <w:t>No</w:t>
            </w:r>
          </w:p>
        </w:tc>
        <w:tc>
          <w:tcPr>
            <w:tcW w:type="dxa" w:w="794"/>
          </w:tcPr>
          <w:p>
            <w:pPr>
              <w:keepNext w:val="0"/>
              <w:spacing w:after="20" w:before="20" w:line="240" w:lineRule="auto"/>
              <w:jc w:val="center"/>
            </w:pPr>
            <w:r/>
            <w:r>
              <w:rPr>
                <w:sz w:val="15"/>
              </w:rPr>
              <w:t>46.3</w:t>
            </w:r>
          </w:p>
        </w:tc>
        <w:tc>
          <w:tcPr>
            <w:tcW w:type="dxa" w:w="794"/>
          </w:tcPr>
          <w:p>
            <w:pPr>
              <w:keepNext w:val="0"/>
              <w:spacing w:after="20" w:before="20" w:line="240" w:lineRule="auto"/>
              <w:jc w:val="center"/>
            </w:pPr>
            <w:r/>
            <w:r>
              <w:rPr>
                <w:sz w:val="15"/>
              </w:rPr>
              <w:t>56.89</w:t>
            </w:r>
          </w:p>
        </w:tc>
        <w:tc>
          <w:tcPr>
            <w:tcW w:type="dxa" w:w="1077"/>
          </w:tcPr>
          <w:p>
            <w:pPr>
              <w:keepNext w:val="0"/>
              <w:spacing w:after="20" w:before="20" w:line="240" w:lineRule="auto"/>
              <w:jc w:val="center"/>
            </w:pPr>
            <w:r/>
            <w:r>
              <w:rPr>
                <w:sz w:val="15"/>
              </w:rPr>
              <w:t>52.3–61.5</w:t>
            </w:r>
          </w:p>
        </w:tc>
        <w:tc>
          <w:tcPr>
            <w:tcW w:type="dxa" w:w="964"/>
            <w:shd w:val="clear" w:color="auto" w:fill="F4B6B6"/>
          </w:tcPr>
          <w:p>
            <w:pPr>
              <w:keepNext w:val="0"/>
              <w:spacing w:after="20" w:before="20" w:line="240" w:lineRule="auto"/>
              <w:jc w:val="center"/>
            </w:pPr>
            <w:r/>
            <w:r>
              <w:rPr>
                <w:sz w:val="15"/>
              </w:rPr>
              <w:t>Rojo</w:t>
            </w:r>
          </w:p>
        </w:tc>
        <w:tc>
          <w:tcPr>
            <w:tcW w:type="dxa" w:w="794"/>
          </w:tcPr>
          <w:p>
            <w:pPr>
              <w:keepNext w:val="0"/>
              <w:spacing w:after="20" w:before="20" w:line="240" w:lineRule="auto"/>
              <w:jc w:val="center"/>
            </w:pPr>
            <w:r/>
            <w:r>
              <w:rPr>
                <w:sz w:val="15"/>
              </w:rPr>
              <w:t>52.80</w:t>
            </w:r>
          </w:p>
        </w:tc>
        <w:tc>
          <w:tcPr>
            <w:tcW w:type="dxa" w:w="964"/>
            <w:shd w:val="clear" w:color="auto" w:fill="F4B6B6"/>
          </w:tcPr>
          <w:p>
            <w:pPr>
              <w:keepNext w:val="0"/>
              <w:spacing w:after="20" w:before="20" w:line="240" w:lineRule="auto"/>
              <w:jc w:val="center"/>
            </w:pPr>
            <w:r/>
            <w:r>
              <w:rPr>
                <w:sz w:val="15"/>
              </w:rPr>
              <w:t>Rojo</w:t>
            </w:r>
          </w:p>
        </w:tc>
        <w:tc>
          <w:tcPr>
            <w:tcW w:type="dxa" w:w="794"/>
          </w:tcPr>
          <w:p>
            <w:pPr>
              <w:keepNext w:val="0"/>
              <w:spacing w:after="20" w:before="20" w:line="240" w:lineRule="auto"/>
              <w:jc w:val="center"/>
            </w:pPr>
            <w:r/>
            <w:r>
              <w:rPr>
                <w:sz w:val="15"/>
              </w:rPr>
              <w:t>52.80</w:t>
            </w:r>
          </w:p>
        </w:tc>
        <w:tc>
          <w:tcPr>
            <w:tcW w:type="dxa" w:w="737"/>
          </w:tcPr>
          <w:p>
            <w:pPr>
              <w:keepNext w:val="0"/>
              <w:spacing w:after="20" w:before="20" w:line="240" w:lineRule="auto"/>
              <w:jc w:val="center"/>
            </w:pPr>
            <w:r/>
            <w:r>
              <w:rPr>
                <w:sz w:val="15"/>
              </w:rPr>
              <w:t>46.5</w:t>
            </w:r>
          </w:p>
        </w:tc>
      </w:tr>
      <w:tr>
        <w:trPr>
          <w:cantSplit w:val="true"/>
        </w:trPr>
        <w:tc>
          <w:tcPr>
            <w:tcW w:type="dxa" w:w="2041"/>
            <w:shd w:val="clear" w:color="auto" w:fill="F2F5F8"/>
          </w:tcPr>
          <w:p>
            <w:pPr>
              <w:keepNext w:val="0"/>
              <w:spacing w:after="20" w:before="20" w:line="240" w:lineRule="auto"/>
              <w:jc w:val="left"/>
            </w:pPr>
            <w:r/>
            <w:r>
              <w:rPr>
                <w:sz w:val="15"/>
              </w:rPr>
              <w:t>Sonora</w:t>
            </w:r>
          </w:p>
        </w:tc>
        <w:tc>
          <w:tcPr>
            <w:tcW w:type="dxa" w:w="737"/>
            <w:shd w:val="clear" w:color="auto" w:fill="F2F5F8"/>
          </w:tcPr>
          <w:p>
            <w:pPr>
              <w:keepNext w:val="0"/>
              <w:spacing w:after="20" w:before="20" w:line="240" w:lineRule="auto"/>
              <w:jc w:val="center"/>
            </w:pPr>
            <w:r/>
            <w:r>
              <w:rPr>
                <w:sz w:val="15"/>
              </w:rPr>
              <w:t>Sí</w:t>
            </w:r>
          </w:p>
        </w:tc>
        <w:tc>
          <w:tcPr>
            <w:tcW w:type="dxa" w:w="794"/>
            <w:shd w:val="clear" w:color="auto" w:fill="F2F5F8"/>
          </w:tcPr>
          <w:p>
            <w:pPr>
              <w:keepNext w:val="0"/>
              <w:spacing w:after="20" w:before="20" w:line="240" w:lineRule="auto"/>
              <w:jc w:val="center"/>
            </w:pPr>
            <w:r/>
            <w:r>
              <w:rPr>
                <w:sz w:val="15"/>
              </w:rPr>
              <w:t>50.4</w:t>
            </w:r>
          </w:p>
        </w:tc>
        <w:tc>
          <w:tcPr>
            <w:tcW w:type="dxa" w:w="794"/>
            <w:shd w:val="clear" w:color="auto" w:fill="F2F5F8"/>
          </w:tcPr>
          <w:p>
            <w:pPr>
              <w:keepNext w:val="0"/>
              <w:spacing w:after="20" w:before="20" w:line="240" w:lineRule="auto"/>
              <w:jc w:val="center"/>
            </w:pPr>
            <w:r/>
            <w:r>
              <w:rPr>
                <w:sz w:val="15"/>
              </w:rPr>
              <w:t>56.81</w:t>
            </w:r>
          </w:p>
        </w:tc>
        <w:tc>
          <w:tcPr>
            <w:tcW w:type="dxa" w:w="1077"/>
            <w:shd w:val="clear" w:color="auto" w:fill="F2F5F8"/>
          </w:tcPr>
          <w:p>
            <w:pPr>
              <w:keepNext w:val="0"/>
              <w:spacing w:after="20" w:before="20" w:line="240" w:lineRule="auto"/>
              <w:jc w:val="center"/>
            </w:pPr>
            <w:r/>
            <w:r>
              <w:rPr>
                <w:sz w:val="15"/>
              </w:rPr>
              <w:t>52.2–61.4</w:t>
            </w:r>
          </w:p>
        </w:tc>
        <w:tc>
          <w:tcPr>
            <w:tcW w:type="dxa" w:w="964"/>
            <w:shd w:val="clear" w:color="auto" w:fill="F4B6B6"/>
          </w:tcPr>
          <w:p>
            <w:pPr>
              <w:keepNext w:val="0"/>
              <w:spacing w:after="20" w:before="20" w:line="240" w:lineRule="auto"/>
              <w:jc w:val="center"/>
            </w:pPr>
            <w:r/>
            <w:r>
              <w:rPr>
                <w:sz w:val="15"/>
              </w:rPr>
              <w:t>Rojo</w:t>
            </w:r>
          </w:p>
        </w:tc>
        <w:tc>
          <w:tcPr>
            <w:tcW w:type="dxa" w:w="794"/>
            <w:shd w:val="clear" w:color="auto" w:fill="F2F5F8"/>
          </w:tcPr>
          <w:p>
            <w:pPr>
              <w:keepNext w:val="0"/>
              <w:spacing w:after="20" w:before="20" w:line="240" w:lineRule="auto"/>
              <w:jc w:val="center"/>
            </w:pPr>
            <w:r/>
            <w:r>
              <w:rPr>
                <w:sz w:val="15"/>
              </w:rPr>
              <w:t>53.58</w:t>
            </w:r>
          </w:p>
        </w:tc>
        <w:tc>
          <w:tcPr>
            <w:tcW w:type="dxa" w:w="964"/>
            <w:shd w:val="clear" w:color="auto" w:fill="F4B6B6"/>
          </w:tcPr>
          <w:p>
            <w:pPr>
              <w:keepNext w:val="0"/>
              <w:spacing w:after="20" w:before="20" w:line="240" w:lineRule="auto"/>
              <w:jc w:val="center"/>
            </w:pPr>
            <w:r/>
            <w:r>
              <w:rPr>
                <w:sz w:val="15"/>
              </w:rPr>
              <w:t>Rojo</w:t>
            </w:r>
          </w:p>
        </w:tc>
        <w:tc>
          <w:tcPr>
            <w:tcW w:type="dxa" w:w="794"/>
            <w:shd w:val="clear" w:color="auto" w:fill="F2F5F8"/>
          </w:tcPr>
          <w:p>
            <w:pPr>
              <w:keepNext w:val="0"/>
              <w:spacing w:after="20" w:before="20" w:line="240" w:lineRule="auto"/>
              <w:jc w:val="center"/>
            </w:pPr>
            <w:r/>
            <w:r>
              <w:rPr>
                <w:sz w:val="15"/>
              </w:rPr>
              <w:t>53.58</w:t>
            </w:r>
          </w:p>
        </w:tc>
        <w:tc>
          <w:tcPr>
            <w:tcW w:type="dxa" w:w="737"/>
            <w:shd w:val="clear" w:color="auto" w:fill="F2F5F8"/>
          </w:tcPr>
          <w:p>
            <w:pPr>
              <w:keepNext w:val="0"/>
              <w:spacing w:after="20" w:before="20" w:line="240" w:lineRule="auto"/>
              <w:jc w:val="center"/>
            </w:pPr>
            <w:r/>
            <w:r>
              <w:rPr>
                <w:sz w:val="15"/>
              </w:rPr>
              <w:t>50.3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keepNext w:val="0"/>
              <w:spacing w:after="20" w:before="20" w:line="240" w:lineRule="auto"/>
              <w:jc w:val="left"/>
            </w:pPr>
            <w:r/>
            <w:r>
              <w:rPr>
                <w:sz w:val="15"/>
              </w:rPr>
              <w:t>Jalisco</w:t>
            </w:r>
          </w:p>
        </w:tc>
        <w:tc>
          <w:tcPr>
            <w:tcW w:type="dxa" w:w="737"/>
          </w:tcPr>
          <w:p>
            <w:pPr>
              <w:keepNext w:val="0"/>
              <w:spacing w:after="20" w:before="20" w:line="240" w:lineRule="auto"/>
              <w:jc w:val="center"/>
            </w:pPr>
            <w:r/>
            <w:r>
              <w:rPr>
                <w:sz w:val="15"/>
              </w:rPr>
              <w:t>No</w:t>
            </w:r>
          </w:p>
        </w:tc>
        <w:tc>
          <w:tcPr>
            <w:tcW w:type="dxa" w:w="794"/>
          </w:tcPr>
          <w:p>
            <w:pPr>
              <w:keepNext w:val="0"/>
              <w:spacing w:after="20" w:before="20" w:line="240" w:lineRule="auto"/>
              <w:jc w:val="center"/>
            </w:pPr>
            <w:r/>
            <w:r>
              <w:rPr>
                <w:sz w:val="15"/>
              </w:rPr>
              <w:t>42.9</w:t>
            </w:r>
          </w:p>
        </w:tc>
        <w:tc>
          <w:tcPr>
            <w:tcW w:type="dxa" w:w="794"/>
          </w:tcPr>
          <w:p>
            <w:pPr>
              <w:keepNext w:val="0"/>
              <w:spacing w:after="20" w:before="20" w:line="240" w:lineRule="auto"/>
              <w:jc w:val="center"/>
            </w:pPr>
            <w:r/>
            <w:r>
              <w:rPr>
                <w:sz w:val="15"/>
              </w:rPr>
              <w:t>54.38</w:t>
            </w:r>
          </w:p>
        </w:tc>
        <w:tc>
          <w:tcPr>
            <w:tcW w:type="dxa" w:w="1077"/>
          </w:tcPr>
          <w:p>
            <w:pPr>
              <w:keepNext w:val="0"/>
              <w:spacing w:after="20" w:before="20" w:line="240" w:lineRule="auto"/>
              <w:jc w:val="center"/>
            </w:pPr>
            <w:r/>
            <w:r>
              <w:rPr>
                <w:sz w:val="15"/>
              </w:rPr>
              <w:t>49.8–59.0</w:t>
            </w:r>
          </w:p>
        </w:tc>
        <w:tc>
          <w:tcPr>
            <w:tcW w:type="dxa" w:w="964"/>
            <w:shd w:val="clear" w:color="auto" w:fill="F4B6B6"/>
          </w:tcPr>
          <w:p>
            <w:pPr>
              <w:keepNext w:val="0"/>
              <w:spacing w:after="20" w:before="20" w:line="240" w:lineRule="auto"/>
              <w:jc w:val="center"/>
            </w:pPr>
            <w:r/>
            <w:r>
              <w:rPr>
                <w:sz w:val="15"/>
              </w:rPr>
              <w:t>Rojo</w:t>
            </w:r>
          </w:p>
        </w:tc>
        <w:tc>
          <w:tcPr>
            <w:tcW w:type="dxa" w:w="794"/>
          </w:tcPr>
          <w:p>
            <w:pPr>
              <w:keepNext w:val="0"/>
              <w:spacing w:after="20" w:before="20" w:line="240" w:lineRule="auto"/>
              <w:jc w:val="center"/>
            </w:pPr>
            <w:r/>
            <w:r>
              <w:rPr>
                <w:sz w:val="15"/>
              </w:rPr>
              <w:t>51.33</w:t>
            </w:r>
          </w:p>
        </w:tc>
        <w:tc>
          <w:tcPr>
            <w:tcW w:type="dxa" w:w="964"/>
            <w:shd w:val="clear" w:color="auto" w:fill="FFE9A8"/>
          </w:tcPr>
          <w:p>
            <w:pPr>
              <w:keepNext w:val="0"/>
              <w:spacing w:after="20" w:before="20" w:line="240" w:lineRule="auto"/>
              <w:jc w:val="center"/>
            </w:pPr>
            <w:r/>
            <w:r>
              <w:rPr>
                <w:sz w:val="15"/>
              </w:rPr>
              <w:t>Amarillo</w:t>
            </w:r>
          </w:p>
        </w:tc>
        <w:tc>
          <w:tcPr>
            <w:tcW w:type="dxa" w:w="794"/>
          </w:tcPr>
          <w:p>
            <w:pPr>
              <w:keepNext w:val="0"/>
              <w:spacing w:after="20" w:before="20" w:line="240" w:lineRule="auto"/>
              <w:jc w:val="center"/>
            </w:pPr>
            <w:r/>
            <w:r>
              <w:rPr>
                <w:sz w:val="15"/>
              </w:rPr>
              <w:t>51.33</w:t>
            </w:r>
          </w:p>
        </w:tc>
        <w:tc>
          <w:tcPr>
            <w:tcW w:type="dxa" w:w="737"/>
          </w:tcPr>
          <w:p>
            <w:pPr>
              <w:keepNext w:val="0"/>
              <w:spacing w:after="20" w:before="20" w:line="240" w:lineRule="auto"/>
              <w:jc w:val="center"/>
            </w:pPr>
            <w:r/>
            <w:r>
              <w:rPr>
                <w:sz w:val="15"/>
              </w:rPr>
              <w:t>41.8</w:t>
            </w:r>
          </w:p>
        </w:tc>
      </w:tr>
      <w:tr>
        <w:trPr>
          <w:cantSplit w:val="true"/>
        </w:trPr>
        <w:tc>
          <w:tcPr>
            <w:tcW w:type="dxa" w:w="2041"/>
            <w:shd w:val="clear" w:color="auto" w:fill="F2F5F8"/>
          </w:tcPr>
          <w:p>
            <w:pPr>
              <w:keepNext w:val="0"/>
              <w:spacing w:after="20" w:before="20" w:line="240" w:lineRule="auto"/>
              <w:jc w:val="left"/>
            </w:pPr>
            <w:r/>
            <w:r>
              <w:rPr>
                <w:sz w:val="15"/>
              </w:rPr>
              <w:t>Chihuahua</w:t>
            </w:r>
          </w:p>
        </w:tc>
        <w:tc>
          <w:tcPr>
            <w:tcW w:type="dxa" w:w="737"/>
            <w:shd w:val="clear" w:color="auto" w:fill="F2F5F8"/>
          </w:tcPr>
          <w:p>
            <w:pPr>
              <w:keepNext w:val="0"/>
              <w:spacing w:after="20" w:before="20" w:line="240" w:lineRule="auto"/>
              <w:jc w:val="center"/>
            </w:pPr>
            <w:r/>
            <w:r>
              <w:rPr>
                <w:sz w:val="15"/>
              </w:rPr>
              <w:t>Sí</w:t>
            </w:r>
          </w:p>
        </w:tc>
        <w:tc>
          <w:tcPr>
            <w:tcW w:type="dxa" w:w="794"/>
            <w:shd w:val="clear" w:color="auto" w:fill="F2F5F8"/>
          </w:tcPr>
          <w:p>
            <w:pPr>
              <w:keepNext w:val="0"/>
              <w:spacing w:after="20" w:before="20" w:line="240" w:lineRule="auto"/>
              <w:jc w:val="center"/>
            </w:pPr>
            <w:r/>
            <w:r>
              <w:rPr>
                <w:sz w:val="15"/>
              </w:rPr>
              <w:t>48.1</w:t>
            </w:r>
          </w:p>
        </w:tc>
        <w:tc>
          <w:tcPr>
            <w:tcW w:type="dxa" w:w="794"/>
            <w:shd w:val="clear" w:color="auto" w:fill="F2F5F8"/>
          </w:tcPr>
          <w:p>
            <w:pPr>
              <w:keepNext w:val="0"/>
              <w:spacing w:after="20" w:before="20" w:line="240" w:lineRule="auto"/>
              <w:jc w:val="center"/>
            </w:pPr>
            <w:r/>
            <w:r>
              <w:rPr>
                <w:sz w:val="15"/>
              </w:rPr>
              <w:t>54.14</w:t>
            </w:r>
          </w:p>
        </w:tc>
        <w:tc>
          <w:tcPr>
            <w:tcW w:type="dxa" w:w="1077"/>
            <w:shd w:val="clear" w:color="auto" w:fill="F2F5F8"/>
          </w:tcPr>
          <w:p>
            <w:pPr>
              <w:keepNext w:val="0"/>
              <w:spacing w:after="20" w:before="20" w:line="240" w:lineRule="auto"/>
              <w:jc w:val="center"/>
            </w:pPr>
            <w:r/>
            <w:r>
              <w:rPr>
                <w:sz w:val="15"/>
              </w:rPr>
              <w:t>49.5–58.8</w:t>
            </w:r>
          </w:p>
        </w:tc>
        <w:tc>
          <w:tcPr>
            <w:tcW w:type="dxa" w:w="964"/>
            <w:shd w:val="clear" w:color="auto" w:fill="F4B6B6"/>
          </w:tcPr>
          <w:p>
            <w:pPr>
              <w:keepNext w:val="0"/>
              <w:spacing w:after="20" w:before="20" w:line="240" w:lineRule="auto"/>
              <w:jc w:val="center"/>
            </w:pPr>
            <w:r/>
            <w:r>
              <w:rPr>
                <w:sz w:val="15"/>
              </w:rPr>
              <w:t>Rojo</w:t>
            </w:r>
          </w:p>
        </w:tc>
        <w:tc>
          <w:tcPr>
            <w:tcW w:type="dxa" w:w="794"/>
            <w:shd w:val="clear" w:color="auto" w:fill="F2F5F8"/>
          </w:tcPr>
          <w:p>
            <w:pPr>
              <w:keepNext w:val="0"/>
              <w:spacing w:after="20" w:before="20" w:line="240" w:lineRule="auto"/>
              <w:jc w:val="center"/>
            </w:pPr>
            <w:r/>
            <w:r>
              <w:rPr>
                <w:sz w:val="15"/>
              </w:rPr>
              <w:t>51.06</w:t>
            </w:r>
          </w:p>
        </w:tc>
        <w:tc>
          <w:tcPr>
            <w:tcW w:type="dxa" w:w="964"/>
            <w:shd w:val="clear" w:color="auto" w:fill="FFE9A8"/>
          </w:tcPr>
          <w:p>
            <w:pPr>
              <w:keepNext w:val="0"/>
              <w:spacing w:after="20" w:before="20" w:line="240" w:lineRule="auto"/>
              <w:jc w:val="center"/>
            </w:pPr>
            <w:r/>
            <w:r>
              <w:rPr>
                <w:sz w:val="15"/>
              </w:rPr>
              <w:t>Amarillo</w:t>
            </w:r>
          </w:p>
        </w:tc>
        <w:tc>
          <w:tcPr>
            <w:tcW w:type="dxa" w:w="794"/>
            <w:shd w:val="clear" w:color="auto" w:fill="F2F5F8"/>
          </w:tcPr>
          <w:p>
            <w:pPr>
              <w:keepNext w:val="0"/>
              <w:spacing w:after="20" w:before="20" w:line="240" w:lineRule="auto"/>
              <w:jc w:val="center"/>
            </w:pPr>
            <w:r/>
            <w:r>
              <w:rPr>
                <w:sz w:val="15"/>
              </w:rPr>
              <w:t>51.06</w:t>
            </w:r>
          </w:p>
        </w:tc>
        <w:tc>
          <w:tcPr>
            <w:tcW w:type="dxa" w:w="737"/>
            <w:shd w:val="clear" w:color="auto" w:fill="F2F5F8"/>
          </w:tcPr>
          <w:p>
            <w:pPr>
              <w:keepNext w:val="0"/>
              <w:spacing w:after="20" w:before="20" w:line="240" w:lineRule="auto"/>
              <w:jc w:val="center"/>
            </w:pPr>
            <w:r/>
            <w:r>
              <w:rPr>
                <w:sz w:val="15"/>
              </w:rPr>
              <w:t>47.8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keepNext w:val="0"/>
              <w:spacing w:after="20" w:before="20" w:line="240" w:lineRule="auto"/>
              <w:jc w:val="left"/>
            </w:pPr>
            <w:r/>
            <w:r>
              <w:rPr>
                <w:sz w:val="15"/>
              </w:rPr>
              <w:t>Baja California Sur</w:t>
            </w:r>
          </w:p>
        </w:tc>
        <w:tc>
          <w:tcPr>
            <w:tcW w:type="dxa" w:w="737"/>
          </w:tcPr>
          <w:p>
            <w:pPr>
              <w:keepNext w:val="0"/>
              <w:spacing w:after="20" w:before="20" w:line="240" w:lineRule="auto"/>
              <w:jc w:val="center"/>
            </w:pPr>
            <w:r/>
            <w:r>
              <w:rPr>
                <w:sz w:val="15"/>
              </w:rPr>
              <w:t>Sí</w:t>
            </w:r>
          </w:p>
        </w:tc>
        <w:tc>
          <w:tcPr>
            <w:tcW w:type="dxa" w:w="794"/>
          </w:tcPr>
          <w:p>
            <w:pPr>
              <w:keepNext w:val="0"/>
              <w:spacing w:after="20" w:before="20" w:line="240" w:lineRule="auto"/>
              <w:jc w:val="center"/>
            </w:pPr>
            <w:r/>
            <w:r>
              <w:rPr>
                <w:sz w:val="15"/>
              </w:rPr>
              <w:t>46.9</w:t>
            </w:r>
          </w:p>
        </w:tc>
        <w:tc>
          <w:tcPr>
            <w:tcW w:type="dxa" w:w="794"/>
          </w:tcPr>
          <w:p>
            <w:pPr>
              <w:keepNext w:val="0"/>
              <w:spacing w:after="20" w:before="20" w:line="240" w:lineRule="auto"/>
              <w:jc w:val="center"/>
            </w:pPr>
            <w:r/>
            <w:r>
              <w:rPr>
                <w:sz w:val="15"/>
              </w:rPr>
              <w:t>52.32</w:t>
            </w:r>
          </w:p>
        </w:tc>
        <w:tc>
          <w:tcPr>
            <w:tcW w:type="dxa" w:w="1077"/>
          </w:tcPr>
          <w:p>
            <w:pPr>
              <w:keepNext w:val="0"/>
              <w:spacing w:after="20" w:before="20" w:line="240" w:lineRule="auto"/>
              <w:jc w:val="center"/>
            </w:pPr>
            <w:r/>
            <w:r>
              <w:rPr>
                <w:sz w:val="15"/>
              </w:rPr>
              <w:t>47.7–56.9</w:t>
            </w:r>
          </w:p>
        </w:tc>
        <w:tc>
          <w:tcPr>
            <w:tcW w:type="dxa" w:w="964"/>
            <w:shd w:val="clear" w:color="auto" w:fill="F4B6B6"/>
          </w:tcPr>
          <w:p>
            <w:pPr>
              <w:keepNext w:val="0"/>
              <w:spacing w:after="20" w:before="20" w:line="240" w:lineRule="auto"/>
              <w:jc w:val="center"/>
            </w:pPr>
            <w:r/>
            <w:r>
              <w:rPr>
                <w:sz w:val="15"/>
              </w:rPr>
              <w:t>Rojo</w:t>
            </w:r>
          </w:p>
        </w:tc>
        <w:tc>
          <w:tcPr>
            <w:tcW w:type="dxa" w:w="794"/>
          </w:tcPr>
          <w:p>
            <w:pPr>
              <w:keepNext w:val="0"/>
              <w:spacing w:after="20" w:before="20" w:line="240" w:lineRule="auto"/>
              <w:jc w:val="center"/>
            </w:pPr>
            <w:r/>
            <w:r>
              <w:rPr>
                <w:sz w:val="15"/>
              </w:rPr>
              <w:t>49.28</w:t>
            </w:r>
          </w:p>
        </w:tc>
        <w:tc>
          <w:tcPr>
            <w:tcW w:type="dxa" w:w="964"/>
            <w:shd w:val="clear" w:color="auto" w:fill="FFE9A8"/>
          </w:tcPr>
          <w:p>
            <w:pPr>
              <w:keepNext w:val="0"/>
              <w:spacing w:after="20" w:before="20" w:line="240" w:lineRule="auto"/>
              <w:jc w:val="center"/>
            </w:pPr>
            <w:r/>
            <w:r>
              <w:rPr>
                <w:sz w:val="15"/>
              </w:rPr>
              <w:t>Amarillo</w:t>
            </w:r>
          </w:p>
        </w:tc>
        <w:tc>
          <w:tcPr>
            <w:tcW w:type="dxa" w:w="794"/>
          </w:tcPr>
          <w:p>
            <w:pPr>
              <w:keepNext w:val="0"/>
              <w:spacing w:after="20" w:before="20" w:line="240" w:lineRule="auto"/>
              <w:jc w:val="center"/>
            </w:pPr>
            <w:r/>
            <w:r>
              <w:rPr>
                <w:sz w:val="15"/>
              </w:rPr>
              <w:t>49.28</w:t>
            </w:r>
          </w:p>
        </w:tc>
        <w:tc>
          <w:tcPr>
            <w:tcW w:type="dxa" w:w="737"/>
          </w:tcPr>
          <w:p>
            <w:pPr>
              <w:keepNext w:val="0"/>
              <w:spacing w:after="20" w:before="20" w:line="240" w:lineRule="auto"/>
              <w:jc w:val="center"/>
            </w:pPr>
            <w:r/>
            <w:r>
              <w:rPr>
                <w:sz w:val="15"/>
              </w:rPr>
              <w:t>46.3</w:t>
            </w:r>
          </w:p>
        </w:tc>
      </w:tr>
      <w:tr>
        <w:trPr>
          <w:cantSplit w:val="true"/>
        </w:trPr>
        <w:tc>
          <w:tcPr>
            <w:tcW w:type="dxa" w:w="2041"/>
            <w:shd w:val="clear" w:color="auto" w:fill="F2F5F8"/>
          </w:tcPr>
          <w:p>
            <w:pPr>
              <w:keepNext w:val="0"/>
              <w:spacing w:after="20" w:before="20" w:line="240" w:lineRule="auto"/>
              <w:jc w:val="left"/>
            </w:pPr>
            <w:r/>
            <w:r>
              <w:rPr>
                <w:sz w:val="15"/>
              </w:rPr>
              <w:t>Michoacán</w:t>
            </w:r>
          </w:p>
        </w:tc>
        <w:tc>
          <w:tcPr>
            <w:tcW w:type="dxa" w:w="737"/>
            <w:shd w:val="clear" w:color="auto" w:fill="F2F5F8"/>
          </w:tcPr>
          <w:p>
            <w:pPr>
              <w:keepNext w:val="0"/>
              <w:spacing w:after="20" w:before="20" w:line="240" w:lineRule="auto"/>
              <w:jc w:val="center"/>
            </w:pPr>
            <w:r/>
            <w:r>
              <w:rPr>
                <w:sz w:val="15"/>
              </w:rPr>
              <w:t>Sí</w:t>
            </w:r>
          </w:p>
        </w:tc>
        <w:tc>
          <w:tcPr>
            <w:tcW w:type="dxa" w:w="794"/>
            <w:shd w:val="clear" w:color="auto" w:fill="F2F5F8"/>
          </w:tcPr>
          <w:p>
            <w:pPr>
              <w:keepNext w:val="0"/>
              <w:spacing w:after="20" w:before="20" w:line="240" w:lineRule="auto"/>
              <w:jc w:val="center"/>
            </w:pPr>
            <w:r/>
            <w:r>
              <w:rPr>
                <w:sz w:val="15"/>
              </w:rPr>
              <w:t>46.0</w:t>
            </w:r>
          </w:p>
        </w:tc>
        <w:tc>
          <w:tcPr>
            <w:tcW w:type="dxa" w:w="794"/>
            <w:shd w:val="clear" w:color="auto" w:fill="F2F5F8"/>
          </w:tcPr>
          <w:p>
            <w:pPr>
              <w:keepNext w:val="0"/>
              <w:spacing w:after="20" w:before="20" w:line="240" w:lineRule="auto"/>
              <w:jc w:val="center"/>
            </w:pPr>
            <w:r/>
            <w:r>
              <w:rPr>
                <w:sz w:val="15"/>
              </w:rPr>
              <w:t>51.88</w:t>
            </w:r>
          </w:p>
        </w:tc>
        <w:tc>
          <w:tcPr>
            <w:tcW w:type="dxa" w:w="1077"/>
            <w:shd w:val="clear" w:color="auto" w:fill="F2F5F8"/>
          </w:tcPr>
          <w:p>
            <w:pPr>
              <w:keepNext w:val="0"/>
              <w:spacing w:after="20" w:before="20" w:line="240" w:lineRule="auto"/>
              <w:jc w:val="center"/>
            </w:pPr>
            <w:r/>
            <w:r>
              <w:rPr>
                <w:sz w:val="15"/>
              </w:rPr>
              <w:t>47.3–56.5</w:t>
            </w:r>
          </w:p>
        </w:tc>
        <w:tc>
          <w:tcPr>
            <w:tcW w:type="dxa" w:w="964"/>
            <w:shd w:val="clear" w:color="auto" w:fill="F4B6B6"/>
          </w:tcPr>
          <w:p>
            <w:pPr>
              <w:keepNext w:val="0"/>
              <w:spacing w:after="20" w:before="20" w:line="240" w:lineRule="auto"/>
              <w:jc w:val="center"/>
            </w:pPr>
            <w:r/>
            <w:r>
              <w:rPr>
                <w:sz w:val="15"/>
              </w:rPr>
              <w:t>Rojo</w:t>
            </w:r>
          </w:p>
        </w:tc>
        <w:tc>
          <w:tcPr>
            <w:tcW w:type="dxa" w:w="794"/>
            <w:shd w:val="clear" w:color="auto" w:fill="F2F5F8"/>
          </w:tcPr>
          <w:p>
            <w:pPr>
              <w:keepNext w:val="0"/>
              <w:spacing w:after="20" w:before="20" w:line="240" w:lineRule="auto"/>
              <w:jc w:val="center"/>
            </w:pPr>
            <w:r/>
            <w:r>
              <w:rPr>
                <w:sz w:val="15"/>
              </w:rPr>
              <w:t>48.10</w:t>
            </w:r>
          </w:p>
        </w:tc>
        <w:tc>
          <w:tcPr>
            <w:tcW w:type="dxa" w:w="964"/>
            <w:shd w:val="clear" w:color="auto" w:fill="FFE9A8"/>
          </w:tcPr>
          <w:p>
            <w:pPr>
              <w:keepNext w:val="0"/>
              <w:spacing w:after="20" w:before="20" w:line="240" w:lineRule="auto"/>
              <w:jc w:val="center"/>
            </w:pPr>
            <w:r/>
            <w:r>
              <w:rPr>
                <w:sz w:val="15"/>
              </w:rPr>
              <w:t>Amarillo</w:t>
            </w:r>
          </w:p>
        </w:tc>
        <w:tc>
          <w:tcPr>
            <w:tcW w:type="dxa" w:w="794"/>
            <w:shd w:val="clear" w:color="auto" w:fill="F2F5F8"/>
          </w:tcPr>
          <w:p>
            <w:pPr>
              <w:keepNext w:val="0"/>
              <w:spacing w:after="20" w:before="20" w:line="240" w:lineRule="auto"/>
              <w:jc w:val="center"/>
            </w:pPr>
            <w:r/>
            <w:r>
              <w:rPr>
                <w:sz w:val="15"/>
              </w:rPr>
              <w:t>48.10</w:t>
            </w:r>
          </w:p>
        </w:tc>
        <w:tc>
          <w:tcPr>
            <w:tcW w:type="dxa" w:w="737"/>
            <w:shd w:val="clear" w:color="auto" w:fill="F2F5F8"/>
          </w:tcPr>
          <w:p>
            <w:pPr>
              <w:keepNext w:val="0"/>
              <w:spacing w:after="20" w:before="20" w:line="240" w:lineRule="auto"/>
              <w:jc w:val="center"/>
            </w:pPr>
            <w:r/>
            <w:r>
              <w:rPr>
                <w:sz w:val="15"/>
              </w:rPr>
              <w:t>45.6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keepNext w:val="0"/>
              <w:spacing w:after="20" w:before="20" w:line="240" w:lineRule="auto"/>
              <w:jc w:val="left"/>
            </w:pPr>
            <w:r/>
            <w:r>
              <w:rPr>
                <w:sz w:val="15"/>
              </w:rPr>
              <w:t>Tamaulipas</w:t>
            </w:r>
          </w:p>
        </w:tc>
        <w:tc>
          <w:tcPr>
            <w:tcW w:type="dxa" w:w="737"/>
          </w:tcPr>
          <w:p>
            <w:pPr>
              <w:keepNext w:val="0"/>
              <w:spacing w:after="20" w:before="20" w:line="240" w:lineRule="auto"/>
              <w:jc w:val="center"/>
            </w:pPr>
            <w:r/>
            <w:r>
              <w:rPr>
                <w:sz w:val="15"/>
              </w:rPr>
              <w:t>No</w:t>
            </w:r>
          </w:p>
        </w:tc>
        <w:tc>
          <w:tcPr>
            <w:tcW w:type="dxa" w:w="794"/>
          </w:tcPr>
          <w:p>
            <w:pPr>
              <w:keepNext w:val="0"/>
              <w:spacing w:after="20" w:before="20" w:line="240" w:lineRule="auto"/>
              <w:jc w:val="center"/>
            </w:pPr>
            <w:r/>
            <w:r>
              <w:rPr>
                <w:sz w:val="15"/>
              </w:rPr>
              <w:t>44.6</w:t>
            </w:r>
          </w:p>
        </w:tc>
        <w:tc>
          <w:tcPr>
            <w:tcW w:type="dxa" w:w="794"/>
          </w:tcPr>
          <w:p>
            <w:pPr>
              <w:keepNext w:val="0"/>
              <w:spacing w:after="20" w:before="20" w:line="240" w:lineRule="auto"/>
              <w:jc w:val="center"/>
            </w:pPr>
            <w:r/>
            <w:r>
              <w:rPr>
                <w:sz w:val="15"/>
              </w:rPr>
              <w:t>51.33</w:t>
            </w:r>
          </w:p>
        </w:tc>
        <w:tc>
          <w:tcPr>
            <w:tcW w:type="dxa" w:w="1077"/>
          </w:tcPr>
          <w:p>
            <w:pPr>
              <w:keepNext w:val="0"/>
              <w:spacing w:after="20" w:before="20" w:line="240" w:lineRule="auto"/>
              <w:jc w:val="center"/>
            </w:pPr>
            <w:r/>
            <w:r>
              <w:rPr>
                <w:sz w:val="15"/>
              </w:rPr>
              <w:t>46.7–56.0</w:t>
            </w:r>
          </w:p>
        </w:tc>
        <w:tc>
          <w:tcPr>
            <w:tcW w:type="dxa" w:w="964"/>
            <w:shd w:val="clear" w:color="auto" w:fill="FFE9A8"/>
          </w:tcPr>
          <w:p>
            <w:pPr>
              <w:keepNext w:val="0"/>
              <w:spacing w:after="20" w:before="20" w:line="240" w:lineRule="auto"/>
              <w:jc w:val="center"/>
            </w:pPr>
            <w:r/>
            <w:r>
              <w:rPr>
                <w:sz w:val="15"/>
              </w:rPr>
              <w:t>Amarillo</w:t>
            </w:r>
          </w:p>
        </w:tc>
        <w:tc>
          <w:tcPr>
            <w:tcW w:type="dxa" w:w="794"/>
          </w:tcPr>
          <w:p>
            <w:pPr>
              <w:keepNext w:val="0"/>
              <w:spacing w:after="20" w:before="20" w:line="240" w:lineRule="auto"/>
              <w:jc w:val="center"/>
            </w:pPr>
            <w:r/>
            <w:r>
              <w:rPr>
                <w:sz w:val="15"/>
              </w:rPr>
              <w:t>48.63</w:t>
            </w:r>
          </w:p>
        </w:tc>
        <w:tc>
          <w:tcPr>
            <w:tcW w:type="dxa" w:w="964"/>
            <w:shd w:val="clear" w:color="auto" w:fill="FFE9A8"/>
          </w:tcPr>
          <w:p>
            <w:pPr>
              <w:keepNext w:val="0"/>
              <w:spacing w:after="20" w:before="20" w:line="240" w:lineRule="auto"/>
              <w:jc w:val="center"/>
            </w:pPr>
            <w:r/>
            <w:r>
              <w:rPr>
                <w:sz w:val="15"/>
              </w:rPr>
              <w:t>Amarillo</w:t>
            </w:r>
          </w:p>
        </w:tc>
        <w:tc>
          <w:tcPr>
            <w:tcW w:type="dxa" w:w="794"/>
          </w:tcPr>
          <w:p>
            <w:pPr>
              <w:keepNext w:val="0"/>
              <w:spacing w:after="20" w:before="20" w:line="240" w:lineRule="auto"/>
              <w:jc w:val="center"/>
            </w:pPr>
            <w:r/>
            <w:r>
              <w:rPr>
                <w:sz w:val="15"/>
              </w:rPr>
              <w:t>51.33</w:t>
            </w:r>
          </w:p>
        </w:tc>
        <w:tc>
          <w:tcPr>
            <w:tcW w:type="dxa" w:w="737"/>
          </w:tcPr>
          <w:p>
            <w:pPr>
              <w:keepNext w:val="0"/>
              <w:spacing w:after="20" w:before="20" w:line="240" w:lineRule="auto"/>
              <w:jc w:val="center"/>
            </w:pPr>
            <w:r/>
            <w:r>
              <w:rPr>
                <w:sz w:val="15"/>
              </w:rPr>
              <w:t>42.9</w:t>
            </w:r>
          </w:p>
        </w:tc>
      </w:tr>
      <w:tr>
        <w:trPr>
          <w:cantSplit w:val="true"/>
        </w:trPr>
        <w:tc>
          <w:tcPr>
            <w:tcW w:type="dxa" w:w="2041"/>
            <w:shd w:val="clear" w:color="auto" w:fill="F2F5F8"/>
          </w:tcPr>
          <w:p>
            <w:pPr>
              <w:keepNext w:val="0"/>
              <w:spacing w:after="20" w:before="20" w:line="240" w:lineRule="auto"/>
              <w:jc w:val="left"/>
            </w:pPr>
            <w:r/>
            <w:r>
              <w:rPr>
                <w:sz w:val="15"/>
              </w:rPr>
              <w:t>Sinaloa</w:t>
            </w:r>
          </w:p>
        </w:tc>
        <w:tc>
          <w:tcPr>
            <w:tcW w:type="dxa" w:w="737"/>
            <w:shd w:val="clear" w:color="auto" w:fill="F2F5F8"/>
          </w:tcPr>
          <w:p>
            <w:pPr>
              <w:keepNext w:val="0"/>
              <w:spacing w:after="20" w:before="20" w:line="240" w:lineRule="auto"/>
              <w:jc w:val="center"/>
            </w:pPr>
            <w:r/>
            <w:r>
              <w:rPr>
                <w:sz w:val="15"/>
              </w:rPr>
              <w:t>Sí</w:t>
            </w:r>
          </w:p>
        </w:tc>
        <w:tc>
          <w:tcPr>
            <w:tcW w:type="dxa" w:w="794"/>
            <w:shd w:val="clear" w:color="auto" w:fill="F2F5F8"/>
          </w:tcPr>
          <w:p>
            <w:pPr>
              <w:keepNext w:val="0"/>
              <w:spacing w:after="20" w:before="20" w:line="240" w:lineRule="auto"/>
              <w:jc w:val="center"/>
            </w:pPr>
            <w:r/>
            <w:r>
              <w:rPr>
                <w:sz w:val="15"/>
              </w:rPr>
              <w:t>45.5</w:t>
            </w:r>
          </w:p>
        </w:tc>
        <w:tc>
          <w:tcPr>
            <w:tcW w:type="dxa" w:w="794"/>
            <w:shd w:val="clear" w:color="auto" w:fill="F2F5F8"/>
          </w:tcPr>
          <w:p>
            <w:pPr>
              <w:keepNext w:val="0"/>
              <w:spacing w:after="20" w:before="20" w:line="240" w:lineRule="auto"/>
              <w:jc w:val="center"/>
            </w:pPr>
            <w:r/>
            <w:r>
              <w:rPr>
                <w:sz w:val="15"/>
              </w:rPr>
              <w:t>51.12</w:t>
            </w:r>
          </w:p>
        </w:tc>
        <w:tc>
          <w:tcPr>
            <w:tcW w:type="dxa" w:w="1077"/>
            <w:shd w:val="clear" w:color="auto" w:fill="F2F5F8"/>
          </w:tcPr>
          <w:p>
            <w:pPr>
              <w:keepNext w:val="0"/>
              <w:spacing w:after="20" w:before="20" w:line="240" w:lineRule="auto"/>
              <w:jc w:val="center"/>
            </w:pPr>
            <w:r/>
            <w:r>
              <w:rPr>
                <w:sz w:val="15"/>
              </w:rPr>
              <w:t>46.5–55.7</w:t>
            </w:r>
          </w:p>
        </w:tc>
        <w:tc>
          <w:tcPr>
            <w:tcW w:type="dxa" w:w="964"/>
            <w:shd w:val="clear" w:color="auto" w:fill="FFE9A8"/>
          </w:tcPr>
          <w:p>
            <w:pPr>
              <w:keepNext w:val="0"/>
              <w:spacing w:after="20" w:before="20" w:line="240" w:lineRule="auto"/>
              <w:jc w:val="center"/>
            </w:pPr>
            <w:r/>
            <w:r>
              <w:rPr>
                <w:sz w:val="15"/>
              </w:rPr>
              <w:t>Amarillo</w:t>
            </w:r>
          </w:p>
        </w:tc>
        <w:tc>
          <w:tcPr>
            <w:tcW w:type="dxa" w:w="794"/>
            <w:shd w:val="clear" w:color="auto" w:fill="F2F5F8"/>
          </w:tcPr>
          <w:p>
            <w:pPr>
              <w:keepNext w:val="0"/>
              <w:spacing w:after="20" w:before="20" w:line="240" w:lineRule="auto"/>
              <w:jc w:val="center"/>
            </w:pPr>
            <w:r/>
            <w:r>
              <w:rPr>
                <w:sz w:val="15"/>
              </w:rPr>
              <w:t>47.85</w:t>
            </w:r>
          </w:p>
        </w:tc>
        <w:tc>
          <w:tcPr>
            <w:tcW w:type="dxa" w:w="964"/>
            <w:shd w:val="clear" w:color="auto" w:fill="FFE9A8"/>
          </w:tcPr>
          <w:p>
            <w:pPr>
              <w:keepNext w:val="0"/>
              <w:spacing w:after="20" w:before="20" w:line="240" w:lineRule="auto"/>
              <w:jc w:val="center"/>
            </w:pPr>
            <w:r/>
            <w:r>
              <w:rPr>
                <w:sz w:val="15"/>
              </w:rPr>
              <w:t>Amarillo</w:t>
            </w:r>
          </w:p>
        </w:tc>
        <w:tc>
          <w:tcPr>
            <w:tcW w:type="dxa" w:w="794"/>
            <w:shd w:val="clear" w:color="auto" w:fill="F2F5F8"/>
          </w:tcPr>
          <w:p>
            <w:pPr>
              <w:keepNext w:val="0"/>
              <w:spacing w:after="20" w:before="20" w:line="240" w:lineRule="auto"/>
              <w:jc w:val="center"/>
            </w:pPr>
            <w:r/>
            <w:r>
              <w:rPr>
                <w:sz w:val="15"/>
              </w:rPr>
              <w:t>51.12</w:t>
            </w:r>
          </w:p>
        </w:tc>
        <w:tc>
          <w:tcPr>
            <w:tcW w:type="dxa" w:w="737"/>
            <w:shd w:val="clear" w:color="auto" w:fill="F2F5F8"/>
          </w:tcPr>
          <w:p>
            <w:pPr>
              <w:keepNext w:val="0"/>
              <w:spacing w:after="20" w:before="20" w:line="240" w:lineRule="auto"/>
              <w:jc w:val="center"/>
            </w:pPr>
            <w:r/>
            <w:r>
              <w:rPr>
                <w:sz w:val="15"/>
              </w:rPr>
              <w:t>45.0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keepNext w:val="0"/>
              <w:spacing w:after="20" w:before="20" w:line="240" w:lineRule="auto"/>
              <w:jc w:val="left"/>
            </w:pPr>
            <w:r/>
            <w:r>
              <w:rPr>
                <w:sz w:val="15"/>
              </w:rPr>
              <w:t>Tabasco</w:t>
            </w:r>
          </w:p>
        </w:tc>
        <w:tc>
          <w:tcPr>
            <w:tcW w:type="dxa" w:w="737"/>
          </w:tcPr>
          <w:p>
            <w:pPr>
              <w:keepNext w:val="0"/>
              <w:spacing w:after="20" w:before="20" w:line="240" w:lineRule="auto"/>
              <w:jc w:val="center"/>
            </w:pPr>
            <w:r/>
            <w:r>
              <w:rPr>
                <w:sz w:val="15"/>
              </w:rPr>
              <w:t>No</w:t>
            </w:r>
          </w:p>
        </w:tc>
        <w:tc>
          <w:tcPr>
            <w:tcW w:type="dxa" w:w="794"/>
          </w:tcPr>
          <w:p>
            <w:pPr>
              <w:keepNext w:val="0"/>
              <w:spacing w:after="20" w:before="20" w:line="240" w:lineRule="auto"/>
              <w:jc w:val="center"/>
            </w:pPr>
            <w:r/>
            <w:r>
              <w:rPr>
                <w:sz w:val="15"/>
              </w:rPr>
              <w:t>40.1</w:t>
            </w:r>
          </w:p>
        </w:tc>
        <w:tc>
          <w:tcPr>
            <w:tcW w:type="dxa" w:w="794"/>
          </w:tcPr>
          <w:p>
            <w:pPr>
              <w:keepNext w:val="0"/>
              <w:spacing w:after="20" w:before="20" w:line="240" w:lineRule="auto"/>
              <w:jc w:val="center"/>
            </w:pPr>
            <w:r/>
            <w:r>
              <w:rPr>
                <w:sz w:val="15"/>
              </w:rPr>
              <w:t>50.37</w:t>
            </w:r>
          </w:p>
        </w:tc>
        <w:tc>
          <w:tcPr>
            <w:tcW w:type="dxa" w:w="1077"/>
          </w:tcPr>
          <w:p>
            <w:pPr>
              <w:keepNext w:val="0"/>
              <w:spacing w:after="20" w:before="20" w:line="240" w:lineRule="auto"/>
              <w:jc w:val="center"/>
            </w:pPr>
            <w:r/>
            <w:r>
              <w:rPr>
                <w:sz w:val="15"/>
              </w:rPr>
              <w:t>45.8–55.0</w:t>
            </w:r>
          </w:p>
        </w:tc>
        <w:tc>
          <w:tcPr>
            <w:tcW w:type="dxa" w:w="964"/>
            <w:shd w:val="clear" w:color="auto" w:fill="FFE9A8"/>
          </w:tcPr>
          <w:p>
            <w:pPr>
              <w:keepNext w:val="0"/>
              <w:spacing w:after="20" w:before="20" w:line="240" w:lineRule="auto"/>
              <w:jc w:val="center"/>
            </w:pPr>
            <w:r/>
            <w:r>
              <w:rPr>
                <w:sz w:val="15"/>
              </w:rPr>
              <w:t>Amarillo</w:t>
            </w:r>
          </w:p>
        </w:tc>
        <w:tc>
          <w:tcPr>
            <w:tcW w:type="dxa" w:w="794"/>
          </w:tcPr>
          <w:p>
            <w:pPr>
              <w:keepNext w:val="0"/>
              <w:spacing w:after="20" w:before="20" w:line="240" w:lineRule="auto"/>
              <w:jc w:val="center"/>
            </w:pPr>
            <w:r/>
            <w:r>
              <w:rPr>
                <w:sz w:val="15"/>
              </w:rPr>
              <w:t>46.09</w:t>
            </w:r>
          </w:p>
        </w:tc>
        <w:tc>
          <w:tcPr>
            <w:tcW w:type="dxa" w:w="964"/>
            <w:shd w:val="clear" w:color="auto" w:fill="FFE9A8"/>
          </w:tcPr>
          <w:p>
            <w:pPr>
              <w:keepNext w:val="0"/>
              <w:spacing w:after="20" w:before="20" w:line="240" w:lineRule="auto"/>
              <w:jc w:val="center"/>
            </w:pPr>
            <w:r/>
            <w:r>
              <w:rPr>
                <w:sz w:val="15"/>
              </w:rPr>
              <w:t>Amarillo</w:t>
            </w:r>
          </w:p>
        </w:tc>
        <w:tc>
          <w:tcPr>
            <w:tcW w:type="dxa" w:w="794"/>
          </w:tcPr>
          <w:p>
            <w:pPr>
              <w:keepNext w:val="0"/>
              <w:spacing w:after="20" w:before="20" w:line="240" w:lineRule="auto"/>
              <w:jc w:val="center"/>
            </w:pPr>
            <w:r/>
            <w:r>
              <w:rPr>
                <w:sz w:val="15"/>
              </w:rPr>
              <w:t>50.37</w:t>
            </w:r>
          </w:p>
        </w:tc>
        <w:tc>
          <w:tcPr>
            <w:tcW w:type="dxa" w:w="737"/>
          </w:tcPr>
          <w:p>
            <w:pPr>
              <w:keepNext w:val="0"/>
              <w:spacing w:after="20" w:before="20" w:line="240" w:lineRule="auto"/>
              <w:jc w:val="center"/>
            </w:pPr>
            <w:r/>
            <w:r>
              <w:rPr>
                <w:sz w:val="15"/>
              </w:rPr>
              <w:t>38.4</w:t>
            </w:r>
          </w:p>
        </w:tc>
      </w:tr>
      <w:tr>
        <w:trPr>
          <w:cantSplit w:val="true"/>
        </w:trPr>
        <w:tc>
          <w:tcPr>
            <w:tcW w:type="dxa" w:w="2041"/>
            <w:shd w:val="clear" w:color="auto" w:fill="F2F5F8"/>
          </w:tcPr>
          <w:p>
            <w:pPr>
              <w:keepNext w:val="0"/>
              <w:spacing w:after="20" w:before="20" w:line="240" w:lineRule="auto"/>
              <w:jc w:val="left"/>
            </w:pPr>
            <w:r/>
            <w:r>
              <w:rPr>
                <w:sz w:val="15"/>
              </w:rPr>
              <w:t>Morelos</w:t>
            </w:r>
          </w:p>
        </w:tc>
        <w:tc>
          <w:tcPr>
            <w:tcW w:type="dxa" w:w="737"/>
            <w:shd w:val="clear" w:color="auto" w:fill="F2F5F8"/>
          </w:tcPr>
          <w:p>
            <w:pPr>
              <w:keepNext w:val="0"/>
              <w:spacing w:after="20" w:before="20" w:line="240" w:lineRule="auto"/>
              <w:jc w:val="center"/>
            </w:pPr>
            <w:r/>
            <w:r>
              <w:rPr>
                <w:sz w:val="15"/>
              </w:rPr>
              <w:t>No</w:t>
            </w:r>
          </w:p>
        </w:tc>
        <w:tc>
          <w:tcPr>
            <w:tcW w:type="dxa" w:w="794"/>
            <w:shd w:val="clear" w:color="auto" w:fill="F2F5F8"/>
          </w:tcPr>
          <w:p>
            <w:pPr>
              <w:keepNext w:val="0"/>
              <w:spacing w:after="20" w:before="20" w:line="240" w:lineRule="auto"/>
              <w:jc w:val="center"/>
            </w:pPr>
            <w:r/>
            <w:r>
              <w:rPr>
                <w:sz w:val="15"/>
              </w:rPr>
              <w:t>38.6</w:t>
            </w:r>
          </w:p>
        </w:tc>
        <w:tc>
          <w:tcPr>
            <w:tcW w:type="dxa" w:w="794"/>
            <w:shd w:val="clear" w:color="auto" w:fill="F2F5F8"/>
          </w:tcPr>
          <w:p>
            <w:pPr>
              <w:keepNext w:val="0"/>
              <w:spacing w:after="20" w:before="20" w:line="240" w:lineRule="auto"/>
              <w:jc w:val="center"/>
            </w:pPr>
            <w:r/>
            <w:r>
              <w:rPr>
                <w:sz w:val="15"/>
              </w:rPr>
              <w:t>49.96</w:t>
            </w:r>
          </w:p>
        </w:tc>
        <w:tc>
          <w:tcPr>
            <w:tcW w:type="dxa" w:w="1077"/>
            <w:shd w:val="clear" w:color="auto" w:fill="F2F5F8"/>
          </w:tcPr>
          <w:p>
            <w:pPr>
              <w:keepNext w:val="0"/>
              <w:spacing w:after="20" w:before="20" w:line="240" w:lineRule="auto"/>
              <w:jc w:val="center"/>
            </w:pPr>
            <w:r/>
            <w:r>
              <w:rPr>
                <w:sz w:val="15"/>
              </w:rPr>
              <w:t>45.3–54.6</w:t>
            </w:r>
          </w:p>
        </w:tc>
        <w:tc>
          <w:tcPr>
            <w:tcW w:type="dxa" w:w="964"/>
            <w:shd w:val="clear" w:color="auto" w:fill="FFE9A8"/>
          </w:tcPr>
          <w:p>
            <w:pPr>
              <w:keepNext w:val="0"/>
              <w:spacing w:after="20" w:before="20" w:line="240" w:lineRule="auto"/>
              <w:jc w:val="center"/>
            </w:pPr>
            <w:r/>
            <w:r>
              <w:rPr>
                <w:sz w:val="15"/>
              </w:rPr>
              <w:t>Amarillo</w:t>
            </w:r>
          </w:p>
        </w:tc>
        <w:tc>
          <w:tcPr>
            <w:tcW w:type="dxa" w:w="794"/>
            <w:shd w:val="clear" w:color="auto" w:fill="F2F5F8"/>
          </w:tcPr>
          <w:p>
            <w:pPr>
              <w:keepNext w:val="0"/>
              <w:spacing w:after="20" w:before="20" w:line="240" w:lineRule="auto"/>
              <w:jc w:val="center"/>
            </w:pPr>
            <w:r/>
            <w:r>
              <w:rPr>
                <w:sz w:val="15"/>
              </w:rPr>
              <w:t>47.37</w:t>
            </w:r>
          </w:p>
        </w:tc>
        <w:tc>
          <w:tcPr>
            <w:tcW w:type="dxa" w:w="964"/>
            <w:shd w:val="clear" w:color="auto" w:fill="FFE9A8"/>
          </w:tcPr>
          <w:p>
            <w:pPr>
              <w:keepNext w:val="0"/>
              <w:spacing w:after="20" w:before="20" w:line="240" w:lineRule="auto"/>
              <w:jc w:val="center"/>
            </w:pPr>
            <w:r/>
            <w:r>
              <w:rPr>
                <w:sz w:val="15"/>
              </w:rPr>
              <w:t>Amarillo</w:t>
            </w:r>
          </w:p>
        </w:tc>
        <w:tc>
          <w:tcPr>
            <w:tcW w:type="dxa" w:w="794"/>
            <w:shd w:val="clear" w:color="auto" w:fill="F2F5F8"/>
          </w:tcPr>
          <w:p>
            <w:pPr>
              <w:keepNext w:val="0"/>
              <w:spacing w:after="20" w:before="20" w:line="240" w:lineRule="auto"/>
              <w:jc w:val="center"/>
            </w:pPr>
            <w:r/>
            <w:r>
              <w:rPr>
                <w:sz w:val="15"/>
              </w:rPr>
              <w:t>49.96</w:t>
            </w:r>
          </w:p>
        </w:tc>
        <w:tc>
          <w:tcPr>
            <w:tcW w:type="dxa" w:w="737"/>
            <w:shd w:val="clear" w:color="auto" w:fill="F2F5F8"/>
          </w:tcPr>
          <w:p>
            <w:pPr>
              <w:keepNext w:val="0"/>
              <w:spacing w:after="20" w:before="20" w:line="240" w:lineRule="auto"/>
              <w:jc w:val="center"/>
            </w:pPr>
            <w:r/>
            <w:r>
              <w:rPr>
                <w:sz w:val="15"/>
              </w:rPr>
              <w:t>37.4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keepNext w:val="0"/>
              <w:spacing w:after="20" w:before="20" w:line="240" w:lineRule="auto"/>
              <w:jc w:val="left"/>
            </w:pPr>
            <w:r/>
            <w:r>
              <w:rPr>
                <w:sz w:val="15"/>
              </w:rPr>
              <w:t>Nuevo León</w:t>
            </w:r>
          </w:p>
        </w:tc>
        <w:tc>
          <w:tcPr>
            <w:tcW w:type="dxa" w:w="737"/>
          </w:tcPr>
          <w:p>
            <w:pPr>
              <w:keepNext w:val="0"/>
              <w:spacing w:after="20" w:before="20" w:line="240" w:lineRule="auto"/>
              <w:jc w:val="center"/>
            </w:pPr>
            <w:r/>
            <w:r>
              <w:rPr>
                <w:sz w:val="15"/>
              </w:rPr>
              <w:t>Sí</w:t>
            </w:r>
          </w:p>
        </w:tc>
        <w:tc>
          <w:tcPr>
            <w:tcW w:type="dxa" w:w="794"/>
          </w:tcPr>
          <w:p>
            <w:pPr>
              <w:keepNext w:val="0"/>
              <w:spacing w:after="20" w:before="20" w:line="240" w:lineRule="auto"/>
              <w:jc w:val="center"/>
            </w:pPr>
            <w:r/>
            <w:r>
              <w:rPr>
                <w:sz w:val="15"/>
              </w:rPr>
              <w:t>44.3</w:t>
            </w:r>
          </w:p>
        </w:tc>
        <w:tc>
          <w:tcPr>
            <w:tcW w:type="dxa" w:w="794"/>
          </w:tcPr>
          <w:p>
            <w:pPr>
              <w:keepNext w:val="0"/>
              <w:spacing w:after="20" w:before="20" w:line="240" w:lineRule="auto"/>
              <w:jc w:val="center"/>
            </w:pPr>
            <w:r/>
            <w:r>
              <w:rPr>
                <w:sz w:val="15"/>
              </w:rPr>
              <w:t>49.96</w:t>
            </w:r>
          </w:p>
        </w:tc>
        <w:tc>
          <w:tcPr>
            <w:tcW w:type="dxa" w:w="1077"/>
          </w:tcPr>
          <w:p>
            <w:pPr>
              <w:keepNext w:val="0"/>
              <w:spacing w:after="20" w:before="20" w:line="240" w:lineRule="auto"/>
              <w:jc w:val="center"/>
            </w:pPr>
            <w:r/>
            <w:r>
              <w:rPr>
                <w:sz w:val="15"/>
              </w:rPr>
              <w:t>45.3–54.6</w:t>
            </w:r>
          </w:p>
        </w:tc>
        <w:tc>
          <w:tcPr>
            <w:tcW w:type="dxa" w:w="964"/>
            <w:shd w:val="clear" w:color="auto" w:fill="FFE9A8"/>
          </w:tcPr>
          <w:p>
            <w:pPr>
              <w:keepNext w:val="0"/>
              <w:spacing w:after="20" w:before="20" w:line="240" w:lineRule="auto"/>
              <w:jc w:val="center"/>
            </w:pPr>
            <w:r/>
            <w:r>
              <w:rPr>
                <w:sz w:val="15"/>
              </w:rPr>
              <w:t>Amarillo</w:t>
            </w:r>
          </w:p>
        </w:tc>
        <w:tc>
          <w:tcPr>
            <w:tcW w:type="dxa" w:w="794"/>
          </w:tcPr>
          <w:p>
            <w:pPr>
              <w:keepNext w:val="0"/>
              <w:spacing w:after="20" w:before="20" w:line="240" w:lineRule="auto"/>
              <w:jc w:val="center"/>
            </w:pPr>
            <w:r/>
            <w:r>
              <w:rPr>
                <w:sz w:val="15"/>
              </w:rPr>
              <w:t>47.36</w:t>
            </w:r>
          </w:p>
        </w:tc>
        <w:tc>
          <w:tcPr>
            <w:tcW w:type="dxa" w:w="964"/>
            <w:shd w:val="clear" w:color="auto" w:fill="FFE9A8"/>
          </w:tcPr>
          <w:p>
            <w:pPr>
              <w:keepNext w:val="0"/>
              <w:spacing w:after="20" w:before="20" w:line="240" w:lineRule="auto"/>
              <w:jc w:val="center"/>
            </w:pPr>
            <w:r/>
            <w:r>
              <w:rPr>
                <w:sz w:val="15"/>
              </w:rPr>
              <w:t>Amarillo</w:t>
            </w:r>
          </w:p>
        </w:tc>
        <w:tc>
          <w:tcPr>
            <w:tcW w:type="dxa" w:w="794"/>
          </w:tcPr>
          <w:p>
            <w:pPr>
              <w:keepNext w:val="0"/>
              <w:spacing w:after="20" w:before="20" w:line="240" w:lineRule="auto"/>
              <w:jc w:val="center"/>
            </w:pPr>
            <w:r/>
            <w:r>
              <w:rPr>
                <w:sz w:val="15"/>
              </w:rPr>
              <w:t>49.96</w:t>
            </w:r>
          </w:p>
        </w:tc>
        <w:tc>
          <w:tcPr>
            <w:tcW w:type="dxa" w:w="737"/>
          </w:tcPr>
          <w:p>
            <w:pPr>
              <w:keepNext w:val="0"/>
              <w:spacing w:after="20" w:before="20" w:line="240" w:lineRule="auto"/>
              <w:jc w:val="center"/>
            </w:pPr>
            <w:r/>
            <w:r>
              <w:rPr>
                <w:sz w:val="15"/>
              </w:rPr>
              <w:t>43.8</w:t>
            </w:r>
          </w:p>
        </w:tc>
      </w:tr>
      <w:tr>
        <w:trPr>
          <w:cantSplit w:val="true"/>
        </w:trPr>
        <w:tc>
          <w:tcPr>
            <w:tcW w:type="dxa" w:w="2041"/>
            <w:shd w:val="clear" w:color="auto" w:fill="F2F5F8"/>
          </w:tcPr>
          <w:p>
            <w:pPr>
              <w:keepNext w:val="0"/>
              <w:spacing w:after="20" w:before="20" w:line="240" w:lineRule="auto"/>
              <w:jc w:val="left"/>
            </w:pPr>
            <w:r/>
            <w:r>
              <w:rPr>
                <w:sz w:val="15"/>
              </w:rPr>
              <w:t>Hidalgo</w:t>
            </w:r>
          </w:p>
        </w:tc>
        <w:tc>
          <w:tcPr>
            <w:tcW w:type="dxa" w:w="737"/>
            <w:shd w:val="clear" w:color="auto" w:fill="F2F5F8"/>
          </w:tcPr>
          <w:p>
            <w:pPr>
              <w:keepNext w:val="0"/>
              <w:spacing w:after="20" w:before="20" w:line="240" w:lineRule="auto"/>
              <w:jc w:val="center"/>
            </w:pPr>
            <w:r/>
            <w:r>
              <w:rPr>
                <w:sz w:val="15"/>
              </w:rPr>
              <w:t>No</w:t>
            </w:r>
          </w:p>
        </w:tc>
        <w:tc>
          <w:tcPr>
            <w:tcW w:type="dxa" w:w="794"/>
            <w:shd w:val="clear" w:color="auto" w:fill="F2F5F8"/>
          </w:tcPr>
          <w:p>
            <w:pPr>
              <w:keepNext w:val="0"/>
              <w:spacing w:after="20" w:before="20" w:line="240" w:lineRule="auto"/>
              <w:jc w:val="center"/>
            </w:pPr>
            <w:r/>
            <w:r>
              <w:rPr>
                <w:sz w:val="15"/>
              </w:rPr>
              <w:t>36.4</w:t>
            </w:r>
          </w:p>
        </w:tc>
        <w:tc>
          <w:tcPr>
            <w:tcW w:type="dxa" w:w="794"/>
            <w:shd w:val="clear" w:color="auto" w:fill="F2F5F8"/>
          </w:tcPr>
          <w:p>
            <w:pPr>
              <w:keepNext w:val="0"/>
              <w:spacing w:after="20" w:before="20" w:line="240" w:lineRule="auto"/>
              <w:jc w:val="center"/>
            </w:pPr>
            <w:r/>
            <w:r>
              <w:rPr>
                <w:sz w:val="15"/>
              </w:rPr>
              <w:t>49.90</w:t>
            </w:r>
          </w:p>
        </w:tc>
        <w:tc>
          <w:tcPr>
            <w:tcW w:type="dxa" w:w="1077"/>
            <w:shd w:val="clear" w:color="auto" w:fill="F2F5F8"/>
          </w:tcPr>
          <w:p>
            <w:pPr>
              <w:keepNext w:val="0"/>
              <w:spacing w:after="20" w:before="20" w:line="240" w:lineRule="auto"/>
              <w:jc w:val="center"/>
            </w:pPr>
            <w:r/>
            <w:r>
              <w:rPr>
                <w:sz w:val="15"/>
              </w:rPr>
              <w:t>45.3–54.5</w:t>
            </w:r>
          </w:p>
        </w:tc>
        <w:tc>
          <w:tcPr>
            <w:tcW w:type="dxa" w:w="964"/>
            <w:shd w:val="clear" w:color="auto" w:fill="FFE9A8"/>
          </w:tcPr>
          <w:p>
            <w:pPr>
              <w:keepNext w:val="0"/>
              <w:spacing w:after="20" w:before="20" w:line="240" w:lineRule="auto"/>
              <w:jc w:val="center"/>
            </w:pPr>
            <w:r/>
            <w:r>
              <w:rPr>
                <w:sz w:val="15"/>
              </w:rPr>
              <w:t>Amarillo</w:t>
            </w:r>
          </w:p>
        </w:tc>
        <w:tc>
          <w:tcPr>
            <w:tcW w:type="dxa" w:w="794"/>
            <w:shd w:val="clear" w:color="auto" w:fill="F2F5F8"/>
          </w:tcPr>
          <w:p>
            <w:pPr>
              <w:keepNext w:val="0"/>
              <w:spacing w:after="20" w:before="20" w:line="240" w:lineRule="auto"/>
              <w:jc w:val="center"/>
            </w:pPr>
            <w:r/>
            <w:r>
              <w:rPr>
                <w:sz w:val="15"/>
              </w:rPr>
              <w:t>45.55</w:t>
            </w:r>
          </w:p>
        </w:tc>
        <w:tc>
          <w:tcPr>
            <w:tcW w:type="dxa" w:w="964"/>
            <w:shd w:val="clear" w:color="auto" w:fill="BFE3C6"/>
          </w:tcPr>
          <w:p>
            <w:pPr>
              <w:keepNext w:val="0"/>
              <w:spacing w:after="20" w:before="20" w:line="240" w:lineRule="auto"/>
              <w:jc w:val="center"/>
            </w:pPr>
            <w:r/>
            <w:r>
              <w:rPr>
                <w:sz w:val="15"/>
              </w:rPr>
              <w:t>Verde</w:t>
            </w:r>
          </w:p>
        </w:tc>
        <w:tc>
          <w:tcPr>
            <w:tcW w:type="dxa" w:w="794"/>
            <w:shd w:val="clear" w:color="auto" w:fill="F2F5F8"/>
          </w:tcPr>
          <w:p>
            <w:pPr>
              <w:keepNext w:val="0"/>
              <w:spacing w:after="20" w:before="20" w:line="240" w:lineRule="auto"/>
              <w:jc w:val="center"/>
            </w:pPr>
            <w:r/>
            <w:r>
              <w:rPr>
                <w:sz w:val="15"/>
              </w:rPr>
              <w:t>49.90</w:t>
            </w:r>
          </w:p>
        </w:tc>
        <w:tc>
          <w:tcPr>
            <w:tcW w:type="dxa" w:w="737"/>
            <w:shd w:val="clear" w:color="auto" w:fill="F2F5F8"/>
          </w:tcPr>
          <w:p>
            <w:pPr>
              <w:keepNext w:val="0"/>
              <w:spacing w:after="20" w:before="20" w:line="240" w:lineRule="auto"/>
              <w:jc w:val="center"/>
            </w:pPr>
            <w:r/>
            <w:r>
              <w:rPr>
                <w:sz w:val="15"/>
              </w:rPr>
              <w:t>38.0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keepNext w:val="0"/>
              <w:spacing w:after="20" w:before="20" w:line="240" w:lineRule="auto"/>
              <w:jc w:val="left"/>
            </w:pPr>
            <w:r/>
            <w:r>
              <w:rPr>
                <w:sz w:val="15"/>
              </w:rPr>
              <w:t>Quintana Roo</w:t>
            </w:r>
          </w:p>
        </w:tc>
        <w:tc>
          <w:tcPr>
            <w:tcW w:type="dxa" w:w="737"/>
          </w:tcPr>
          <w:p>
            <w:pPr>
              <w:keepNext w:val="0"/>
              <w:spacing w:after="20" w:before="20" w:line="240" w:lineRule="auto"/>
              <w:jc w:val="center"/>
            </w:pPr>
            <w:r/>
            <w:r>
              <w:rPr>
                <w:sz w:val="15"/>
              </w:rPr>
              <w:t>Sí</w:t>
            </w:r>
          </w:p>
        </w:tc>
        <w:tc>
          <w:tcPr>
            <w:tcW w:type="dxa" w:w="794"/>
          </w:tcPr>
          <w:p>
            <w:pPr>
              <w:keepNext w:val="0"/>
              <w:spacing w:after="20" w:before="20" w:line="240" w:lineRule="auto"/>
              <w:jc w:val="center"/>
            </w:pPr>
            <w:r/>
            <w:r>
              <w:rPr>
                <w:sz w:val="15"/>
              </w:rPr>
              <w:t>45.3</w:t>
            </w:r>
          </w:p>
        </w:tc>
        <w:tc>
          <w:tcPr>
            <w:tcW w:type="dxa" w:w="794"/>
          </w:tcPr>
          <w:p>
            <w:pPr>
              <w:keepNext w:val="0"/>
              <w:spacing w:after="20" w:before="20" w:line="240" w:lineRule="auto"/>
              <w:jc w:val="center"/>
            </w:pPr>
            <w:r/>
            <w:r>
              <w:rPr>
                <w:sz w:val="15"/>
              </w:rPr>
              <w:t>49.12</w:t>
            </w:r>
          </w:p>
        </w:tc>
        <w:tc>
          <w:tcPr>
            <w:tcW w:type="dxa" w:w="1077"/>
          </w:tcPr>
          <w:p>
            <w:pPr>
              <w:keepNext w:val="0"/>
              <w:spacing w:after="20" w:before="20" w:line="240" w:lineRule="auto"/>
              <w:jc w:val="center"/>
            </w:pPr>
            <w:r/>
            <w:r>
              <w:rPr>
                <w:sz w:val="15"/>
              </w:rPr>
              <w:t>44.5–53.7</w:t>
            </w:r>
          </w:p>
        </w:tc>
        <w:tc>
          <w:tcPr>
            <w:tcW w:type="dxa" w:w="964"/>
            <w:shd w:val="clear" w:color="auto" w:fill="FFE9A8"/>
          </w:tcPr>
          <w:p>
            <w:pPr>
              <w:keepNext w:val="0"/>
              <w:spacing w:after="20" w:before="20" w:line="240" w:lineRule="auto"/>
              <w:jc w:val="center"/>
            </w:pPr>
            <w:r/>
            <w:r>
              <w:rPr>
                <w:sz w:val="15"/>
              </w:rPr>
              <w:t>Amarillo</w:t>
            </w:r>
          </w:p>
        </w:tc>
        <w:tc>
          <w:tcPr>
            <w:tcW w:type="dxa" w:w="794"/>
          </w:tcPr>
          <w:p>
            <w:pPr>
              <w:keepNext w:val="0"/>
              <w:spacing w:after="20" w:before="20" w:line="240" w:lineRule="auto"/>
              <w:jc w:val="center"/>
            </w:pPr>
            <w:r/>
            <w:r>
              <w:rPr>
                <w:sz w:val="15"/>
              </w:rPr>
              <w:t>46.39</w:t>
            </w:r>
          </w:p>
        </w:tc>
        <w:tc>
          <w:tcPr>
            <w:tcW w:type="dxa" w:w="964"/>
            <w:shd w:val="clear" w:color="auto" w:fill="FFE9A8"/>
          </w:tcPr>
          <w:p>
            <w:pPr>
              <w:keepNext w:val="0"/>
              <w:spacing w:after="20" w:before="20" w:line="240" w:lineRule="auto"/>
              <w:jc w:val="center"/>
            </w:pPr>
            <w:r/>
            <w:r>
              <w:rPr>
                <w:sz w:val="15"/>
              </w:rPr>
              <w:t>Amarillo</w:t>
            </w:r>
          </w:p>
        </w:tc>
        <w:tc>
          <w:tcPr>
            <w:tcW w:type="dxa" w:w="794"/>
          </w:tcPr>
          <w:p>
            <w:pPr>
              <w:keepNext w:val="0"/>
              <w:spacing w:after="20" w:before="20" w:line="240" w:lineRule="auto"/>
              <w:jc w:val="center"/>
            </w:pPr>
            <w:r/>
            <w:r>
              <w:rPr>
                <w:sz w:val="15"/>
              </w:rPr>
              <w:t>49.12</w:t>
            </w:r>
          </w:p>
        </w:tc>
        <w:tc>
          <w:tcPr>
            <w:tcW w:type="dxa" w:w="737"/>
          </w:tcPr>
          <w:p>
            <w:pPr>
              <w:keepNext w:val="0"/>
              <w:spacing w:after="20" w:before="20" w:line="240" w:lineRule="auto"/>
              <w:jc w:val="center"/>
            </w:pPr>
            <w:r/>
            <w:r>
              <w:rPr>
                <w:sz w:val="15"/>
              </w:rPr>
              <w:t>43.9</w:t>
            </w:r>
          </w:p>
        </w:tc>
      </w:tr>
      <w:tr>
        <w:trPr>
          <w:cantSplit w:val="true"/>
        </w:trPr>
        <w:tc>
          <w:tcPr>
            <w:tcW w:type="dxa" w:w="2041"/>
            <w:shd w:val="clear" w:color="auto" w:fill="F2F5F8"/>
          </w:tcPr>
          <w:p>
            <w:pPr>
              <w:keepNext w:val="0"/>
              <w:spacing w:after="20" w:before="20" w:line="240" w:lineRule="auto"/>
              <w:jc w:val="left"/>
            </w:pPr>
            <w:r/>
            <w:r>
              <w:rPr>
                <w:sz w:val="15"/>
              </w:rPr>
              <w:t>Nayarit</w:t>
            </w:r>
          </w:p>
        </w:tc>
        <w:tc>
          <w:tcPr>
            <w:tcW w:type="dxa" w:w="737"/>
            <w:shd w:val="clear" w:color="auto" w:fill="F2F5F8"/>
          </w:tcPr>
          <w:p>
            <w:pPr>
              <w:keepNext w:val="0"/>
              <w:spacing w:after="20" w:before="20" w:line="240" w:lineRule="auto"/>
              <w:jc w:val="center"/>
            </w:pPr>
            <w:r/>
            <w:r>
              <w:rPr>
                <w:sz w:val="15"/>
              </w:rPr>
              <w:t>Sí</w:t>
            </w:r>
          </w:p>
        </w:tc>
        <w:tc>
          <w:tcPr>
            <w:tcW w:type="dxa" w:w="794"/>
            <w:shd w:val="clear" w:color="auto" w:fill="F2F5F8"/>
          </w:tcPr>
          <w:p>
            <w:pPr>
              <w:keepNext w:val="0"/>
              <w:spacing w:after="20" w:before="20" w:line="240" w:lineRule="auto"/>
              <w:jc w:val="center"/>
            </w:pPr>
            <w:r/>
            <w:r>
              <w:rPr>
                <w:sz w:val="15"/>
              </w:rPr>
              <w:t>44.2</w:t>
            </w:r>
          </w:p>
        </w:tc>
        <w:tc>
          <w:tcPr>
            <w:tcW w:type="dxa" w:w="794"/>
            <w:shd w:val="clear" w:color="auto" w:fill="F2F5F8"/>
          </w:tcPr>
          <w:p>
            <w:pPr>
              <w:keepNext w:val="0"/>
              <w:spacing w:after="20" w:before="20" w:line="240" w:lineRule="auto"/>
              <w:jc w:val="center"/>
            </w:pPr>
            <w:r/>
            <w:r>
              <w:rPr>
                <w:sz w:val="15"/>
              </w:rPr>
              <w:t>48.78</w:t>
            </w:r>
          </w:p>
        </w:tc>
        <w:tc>
          <w:tcPr>
            <w:tcW w:type="dxa" w:w="1077"/>
            <w:shd w:val="clear" w:color="auto" w:fill="F2F5F8"/>
          </w:tcPr>
          <w:p>
            <w:pPr>
              <w:keepNext w:val="0"/>
              <w:spacing w:after="20" w:before="20" w:line="240" w:lineRule="auto"/>
              <w:jc w:val="center"/>
            </w:pPr>
            <w:r/>
            <w:r>
              <w:rPr>
                <w:sz w:val="15"/>
              </w:rPr>
              <w:t>44.2–53.4</w:t>
            </w:r>
          </w:p>
        </w:tc>
        <w:tc>
          <w:tcPr>
            <w:tcW w:type="dxa" w:w="964"/>
            <w:shd w:val="clear" w:color="auto" w:fill="FFE9A8"/>
          </w:tcPr>
          <w:p>
            <w:pPr>
              <w:keepNext w:val="0"/>
              <w:spacing w:after="20" w:before="20" w:line="240" w:lineRule="auto"/>
              <w:jc w:val="center"/>
            </w:pPr>
            <w:r/>
            <w:r>
              <w:rPr>
                <w:sz w:val="15"/>
              </w:rPr>
              <w:t>Amarillo</w:t>
            </w:r>
          </w:p>
        </w:tc>
        <w:tc>
          <w:tcPr>
            <w:tcW w:type="dxa" w:w="794"/>
            <w:shd w:val="clear" w:color="auto" w:fill="F2F5F8"/>
          </w:tcPr>
          <w:p>
            <w:pPr>
              <w:keepNext w:val="0"/>
              <w:spacing w:after="20" w:before="20" w:line="240" w:lineRule="auto"/>
              <w:jc w:val="center"/>
            </w:pPr>
            <w:r/>
            <w:r>
              <w:rPr>
                <w:sz w:val="15"/>
              </w:rPr>
              <w:t>45.51</w:t>
            </w:r>
          </w:p>
        </w:tc>
        <w:tc>
          <w:tcPr>
            <w:tcW w:type="dxa" w:w="964"/>
            <w:shd w:val="clear" w:color="auto" w:fill="BFE3C6"/>
          </w:tcPr>
          <w:p>
            <w:pPr>
              <w:keepNext w:val="0"/>
              <w:spacing w:after="20" w:before="20" w:line="240" w:lineRule="auto"/>
              <w:jc w:val="center"/>
            </w:pPr>
            <w:r/>
            <w:r>
              <w:rPr>
                <w:sz w:val="15"/>
              </w:rPr>
              <w:t>Verde</w:t>
            </w:r>
          </w:p>
        </w:tc>
        <w:tc>
          <w:tcPr>
            <w:tcW w:type="dxa" w:w="794"/>
            <w:shd w:val="clear" w:color="auto" w:fill="F2F5F8"/>
          </w:tcPr>
          <w:p>
            <w:pPr>
              <w:keepNext w:val="0"/>
              <w:spacing w:after="20" w:before="20" w:line="240" w:lineRule="auto"/>
              <w:jc w:val="center"/>
            </w:pPr>
            <w:r/>
            <w:r>
              <w:rPr>
                <w:sz w:val="15"/>
              </w:rPr>
              <w:t>48.78</w:t>
            </w:r>
          </w:p>
        </w:tc>
        <w:tc>
          <w:tcPr>
            <w:tcW w:type="dxa" w:w="737"/>
            <w:shd w:val="clear" w:color="auto" w:fill="F2F5F8"/>
          </w:tcPr>
          <w:p>
            <w:pPr>
              <w:keepNext w:val="0"/>
              <w:spacing w:after="20" w:before="20" w:line="240" w:lineRule="auto"/>
              <w:jc w:val="center"/>
            </w:pPr>
            <w:r/>
            <w:r>
              <w:rPr>
                <w:sz w:val="15"/>
              </w:rPr>
              <w:t>43.2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keepNext w:val="0"/>
              <w:spacing w:after="20" w:before="20" w:line="240" w:lineRule="auto"/>
              <w:jc w:val="left"/>
            </w:pPr>
            <w:r/>
            <w:r>
              <w:rPr>
                <w:sz w:val="15"/>
              </w:rPr>
              <w:t>Colima</w:t>
            </w:r>
          </w:p>
        </w:tc>
        <w:tc>
          <w:tcPr>
            <w:tcW w:type="dxa" w:w="737"/>
          </w:tcPr>
          <w:p>
            <w:pPr>
              <w:keepNext w:val="0"/>
              <w:spacing w:after="20" w:before="20" w:line="240" w:lineRule="auto"/>
              <w:jc w:val="center"/>
            </w:pPr>
            <w:r/>
            <w:r>
              <w:rPr>
                <w:sz w:val="15"/>
              </w:rPr>
              <w:t>Sí</w:t>
            </w:r>
          </w:p>
        </w:tc>
        <w:tc>
          <w:tcPr>
            <w:tcW w:type="dxa" w:w="794"/>
          </w:tcPr>
          <w:p>
            <w:pPr>
              <w:keepNext w:val="0"/>
              <w:spacing w:after="20" w:before="20" w:line="240" w:lineRule="auto"/>
              <w:jc w:val="center"/>
            </w:pPr>
            <w:r/>
            <w:r>
              <w:rPr>
                <w:sz w:val="15"/>
              </w:rPr>
              <w:t>43.5</w:t>
            </w:r>
          </w:p>
        </w:tc>
        <w:tc>
          <w:tcPr>
            <w:tcW w:type="dxa" w:w="794"/>
          </w:tcPr>
          <w:p>
            <w:pPr>
              <w:keepNext w:val="0"/>
              <w:spacing w:after="20" w:before="20" w:line="240" w:lineRule="auto"/>
              <w:jc w:val="center"/>
            </w:pPr>
            <w:r/>
            <w:r>
              <w:rPr>
                <w:sz w:val="15"/>
              </w:rPr>
              <w:t>48.75</w:t>
            </w:r>
          </w:p>
        </w:tc>
        <w:tc>
          <w:tcPr>
            <w:tcW w:type="dxa" w:w="1077"/>
          </w:tcPr>
          <w:p>
            <w:pPr>
              <w:keepNext w:val="0"/>
              <w:spacing w:after="20" w:before="20" w:line="240" w:lineRule="auto"/>
              <w:jc w:val="center"/>
            </w:pPr>
            <w:r/>
            <w:r>
              <w:rPr>
                <w:sz w:val="15"/>
              </w:rPr>
              <w:t>44.1–53.4</w:t>
            </w:r>
          </w:p>
        </w:tc>
        <w:tc>
          <w:tcPr>
            <w:tcW w:type="dxa" w:w="964"/>
            <w:shd w:val="clear" w:color="auto" w:fill="FFE9A8"/>
          </w:tcPr>
          <w:p>
            <w:pPr>
              <w:keepNext w:val="0"/>
              <w:spacing w:after="20" w:before="20" w:line="240" w:lineRule="auto"/>
              <w:jc w:val="center"/>
            </w:pPr>
            <w:r/>
            <w:r>
              <w:rPr>
                <w:sz w:val="15"/>
              </w:rPr>
              <w:t>Amarillo</w:t>
            </w:r>
          </w:p>
        </w:tc>
        <w:tc>
          <w:tcPr>
            <w:tcW w:type="dxa" w:w="794"/>
          </w:tcPr>
          <w:p>
            <w:pPr>
              <w:keepNext w:val="0"/>
              <w:spacing w:after="20" w:before="20" w:line="240" w:lineRule="auto"/>
              <w:jc w:val="center"/>
            </w:pPr>
            <w:r/>
            <w:r>
              <w:rPr>
                <w:sz w:val="15"/>
              </w:rPr>
              <w:t>46.22</w:t>
            </w:r>
          </w:p>
        </w:tc>
        <w:tc>
          <w:tcPr>
            <w:tcW w:type="dxa" w:w="964"/>
            <w:shd w:val="clear" w:color="auto" w:fill="FFE9A8"/>
          </w:tcPr>
          <w:p>
            <w:pPr>
              <w:keepNext w:val="0"/>
              <w:spacing w:after="20" w:before="20" w:line="240" w:lineRule="auto"/>
              <w:jc w:val="center"/>
            </w:pPr>
            <w:r/>
            <w:r>
              <w:rPr>
                <w:sz w:val="15"/>
              </w:rPr>
              <w:t>Amarillo</w:t>
            </w:r>
          </w:p>
        </w:tc>
        <w:tc>
          <w:tcPr>
            <w:tcW w:type="dxa" w:w="794"/>
          </w:tcPr>
          <w:p>
            <w:pPr>
              <w:keepNext w:val="0"/>
              <w:spacing w:after="20" w:before="20" w:line="240" w:lineRule="auto"/>
              <w:jc w:val="center"/>
            </w:pPr>
            <w:r/>
            <w:r>
              <w:rPr>
                <w:sz w:val="15"/>
              </w:rPr>
              <w:t>48.75</w:t>
            </w:r>
          </w:p>
        </w:tc>
        <w:tc>
          <w:tcPr>
            <w:tcW w:type="dxa" w:w="737"/>
          </w:tcPr>
          <w:p>
            <w:pPr>
              <w:keepNext w:val="0"/>
              <w:spacing w:after="20" w:before="20" w:line="240" w:lineRule="auto"/>
              <w:jc w:val="center"/>
            </w:pPr>
            <w:r/>
            <w:r>
              <w:rPr>
                <w:sz w:val="15"/>
              </w:rPr>
              <w:t>42.8</w:t>
            </w:r>
          </w:p>
        </w:tc>
      </w:tr>
      <w:tr>
        <w:trPr>
          <w:cantSplit w:val="true"/>
        </w:trPr>
        <w:tc>
          <w:tcPr>
            <w:tcW w:type="dxa" w:w="2041"/>
            <w:shd w:val="clear" w:color="auto" w:fill="F2F5F8"/>
          </w:tcPr>
          <w:p>
            <w:pPr>
              <w:keepNext w:val="0"/>
              <w:spacing w:after="20" w:before="20" w:line="240" w:lineRule="auto"/>
              <w:jc w:val="left"/>
            </w:pPr>
            <w:r/>
            <w:r>
              <w:rPr>
                <w:sz w:val="15"/>
              </w:rPr>
              <w:t>Veracruz</w:t>
            </w:r>
          </w:p>
        </w:tc>
        <w:tc>
          <w:tcPr>
            <w:tcW w:type="dxa" w:w="737"/>
            <w:shd w:val="clear" w:color="auto" w:fill="F2F5F8"/>
          </w:tcPr>
          <w:p>
            <w:pPr>
              <w:keepNext w:val="0"/>
              <w:spacing w:after="20" w:before="20" w:line="240" w:lineRule="auto"/>
              <w:jc w:val="center"/>
            </w:pPr>
            <w:r/>
            <w:r>
              <w:rPr>
                <w:sz w:val="15"/>
              </w:rPr>
              <w:t>No</w:t>
            </w:r>
          </w:p>
        </w:tc>
        <w:tc>
          <w:tcPr>
            <w:tcW w:type="dxa" w:w="794"/>
            <w:shd w:val="clear" w:color="auto" w:fill="F2F5F8"/>
          </w:tcPr>
          <w:p>
            <w:pPr>
              <w:keepNext w:val="0"/>
              <w:spacing w:after="20" w:before="20" w:line="240" w:lineRule="auto"/>
              <w:jc w:val="center"/>
            </w:pPr>
            <w:r/>
            <w:r>
              <w:rPr>
                <w:sz w:val="15"/>
              </w:rPr>
              <w:t>41.6</w:t>
            </w:r>
          </w:p>
        </w:tc>
        <w:tc>
          <w:tcPr>
            <w:tcW w:type="dxa" w:w="794"/>
            <w:shd w:val="clear" w:color="auto" w:fill="F2F5F8"/>
          </w:tcPr>
          <w:p>
            <w:pPr>
              <w:keepNext w:val="0"/>
              <w:spacing w:after="20" w:before="20" w:line="240" w:lineRule="auto"/>
              <w:jc w:val="center"/>
            </w:pPr>
            <w:r/>
            <w:r>
              <w:rPr>
                <w:sz w:val="15"/>
              </w:rPr>
              <w:t>47.71</w:t>
            </w:r>
          </w:p>
        </w:tc>
        <w:tc>
          <w:tcPr>
            <w:tcW w:type="dxa" w:w="1077"/>
            <w:shd w:val="clear" w:color="auto" w:fill="F2F5F8"/>
          </w:tcPr>
          <w:p>
            <w:pPr>
              <w:keepNext w:val="0"/>
              <w:spacing w:after="20" w:before="20" w:line="240" w:lineRule="auto"/>
              <w:jc w:val="center"/>
            </w:pPr>
            <w:r/>
            <w:r>
              <w:rPr>
                <w:sz w:val="15"/>
              </w:rPr>
              <w:t>43.1–52.3</w:t>
            </w:r>
          </w:p>
        </w:tc>
        <w:tc>
          <w:tcPr>
            <w:tcW w:type="dxa" w:w="964"/>
            <w:shd w:val="clear" w:color="auto" w:fill="FFE9A8"/>
          </w:tcPr>
          <w:p>
            <w:pPr>
              <w:keepNext w:val="0"/>
              <w:spacing w:after="20" w:before="20" w:line="240" w:lineRule="auto"/>
              <w:jc w:val="center"/>
            </w:pPr>
            <w:r/>
            <w:r>
              <w:rPr>
                <w:sz w:val="15"/>
              </w:rPr>
              <w:t>Amarillo</w:t>
            </w:r>
          </w:p>
        </w:tc>
        <w:tc>
          <w:tcPr>
            <w:tcW w:type="dxa" w:w="794"/>
            <w:shd w:val="clear" w:color="auto" w:fill="F2F5F8"/>
          </w:tcPr>
          <w:p>
            <w:pPr>
              <w:keepNext w:val="0"/>
              <w:spacing w:after="20" w:before="20" w:line="240" w:lineRule="auto"/>
              <w:jc w:val="center"/>
            </w:pPr>
            <w:r/>
            <w:r>
              <w:rPr>
                <w:sz w:val="15"/>
              </w:rPr>
              <w:t>44.00</w:t>
            </w:r>
          </w:p>
        </w:tc>
        <w:tc>
          <w:tcPr>
            <w:tcW w:type="dxa" w:w="964"/>
            <w:shd w:val="clear" w:color="auto" w:fill="BFE3C6"/>
          </w:tcPr>
          <w:p>
            <w:pPr>
              <w:keepNext w:val="0"/>
              <w:spacing w:after="20" w:before="20" w:line="240" w:lineRule="auto"/>
              <w:jc w:val="center"/>
            </w:pPr>
            <w:r/>
            <w:r>
              <w:rPr>
                <w:sz w:val="15"/>
              </w:rPr>
              <w:t>Verde</w:t>
            </w:r>
          </w:p>
        </w:tc>
        <w:tc>
          <w:tcPr>
            <w:tcW w:type="dxa" w:w="794"/>
            <w:shd w:val="clear" w:color="auto" w:fill="F2F5F8"/>
          </w:tcPr>
          <w:p>
            <w:pPr>
              <w:keepNext w:val="0"/>
              <w:spacing w:after="20" w:before="20" w:line="240" w:lineRule="auto"/>
              <w:jc w:val="center"/>
            </w:pPr>
            <w:r/>
            <w:r>
              <w:rPr>
                <w:sz w:val="15"/>
              </w:rPr>
              <w:t>47.71</w:t>
            </w:r>
          </w:p>
        </w:tc>
        <w:tc>
          <w:tcPr>
            <w:tcW w:type="dxa" w:w="737"/>
            <w:shd w:val="clear" w:color="auto" w:fill="F2F5F8"/>
          </w:tcPr>
          <w:p>
            <w:pPr>
              <w:keepNext w:val="0"/>
              <w:spacing w:after="20" w:before="20" w:line="240" w:lineRule="auto"/>
              <w:jc w:val="center"/>
            </w:pPr>
            <w:r/>
            <w:r>
              <w:rPr>
                <w:sz w:val="15"/>
              </w:rPr>
              <w:t>37.8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keepNext w:val="0"/>
              <w:spacing w:after="20" w:before="20" w:line="240" w:lineRule="auto"/>
              <w:jc w:val="left"/>
            </w:pPr>
            <w:r/>
            <w:r>
              <w:rPr>
                <w:sz w:val="15"/>
              </w:rPr>
              <w:t>Oaxaca</w:t>
            </w:r>
          </w:p>
        </w:tc>
        <w:tc>
          <w:tcPr>
            <w:tcW w:type="dxa" w:w="737"/>
          </w:tcPr>
          <w:p>
            <w:pPr>
              <w:keepNext w:val="0"/>
              <w:spacing w:after="20" w:before="20" w:line="240" w:lineRule="auto"/>
              <w:jc w:val="center"/>
            </w:pPr>
            <w:r/>
            <w:r>
              <w:rPr>
                <w:sz w:val="15"/>
              </w:rPr>
              <w:t>No</w:t>
            </w:r>
          </w:p>
        </w:tc>
        <w:tc>
          <w:tcPr>
            <w:tcW w:type="dxa" w:w="794"/>
          </w:tcPr>
          <w:p>
            <w:pPr>
              <w:keepNext w:val="0"/>
              <w:spacing w:after="20" w:before="20" w:line="240" w:lineRule="auto"/>
              <w:jc w:val="center"/>
            </w:pPr>
            <w:r/>
            <w:r>
              <w:rPr>
                <w:sz w:val="15"/>
              </w:rPr>
              <w:t>41.3</w:t>
            </w:r>
          </w:p>
        </w:tc>
        <w:tc>
          <w:tcPr>
            <w:tcW w:type="dxa" w:w="794"/>
          </w:tcPr>
          <w:p>
            <w:pPr>
              <w:keepNext w:val="0"/>
              <w:spacing w:after="20" w:before="20" w:line="240" w:lineRule="auto"/>
              <w:jc w:val="center"/>
            </w:pPr>
            <w:r/>
            <w:r>
              <w:rPr>
                <w:sz w:val="15"/>
              </w:rPr>
              <w:t>47.55</w:t>
            </w:r>
          </w:p>
        </w:tc>
        <w:tc>
          <w:tcPr>
            <w:tcW w:type="dxa" w:w="1077"/>
          </w:tcPr>
          <w:p>
            <w:pPr>
              <w:keepNext w:val="0"/>
              <w:spacing w:after="20" w:before="20" w:line="240" w:lineRule="auto"/>
              <w:jc w:val="center"/>
            </w:pPr>
            <w:r/>
            <w:r>
              <w:rPr>
                <w:sz w:val="15"/>
              </w:rPr>
              <w:t>42.9–52.2</w:t>
            </w:r>
          </w:p>
        </w:tc>
        <w:tc>
          <w:tcPr>
            <w:tcW w:type="dxa" w:w="964"/>
            <w:shd w:val="clear" w:color="auto" w:fill="FFE9A8"/>
          </w:tcPr>
          <w:p>
            <w:pPr>
              <w:keepNext w:val="0"/>
              <w:spacing w:after="20" w:before="20" w:line="240" w:lineRule="auto"/>
              <w:jc w:val="center"/>
            </w:pPr>
            <w:r/>
            <w:r>
              <w:rPr>
                <w:sz w:val="15"/>
              </w:rPr>
              <w:t>Amarillo</w:t>
            </w:r>
          </w:p>
        </w:tc>
        <w:tc>
          <w:tcPr>
            <w:tcW w:type="dxa" w:w="794"/>
          </w:tcPr>
          <w:p>
            <w:pPr>
              <w:keepNext w:val="0"/>
              <w:spacing w:after="20" w:before="20" w:line="240" w:lineRule="auto"/>
              <w:jc w:val="center"/>
            </w:pPr>
            <w:r/>
            <w:r>
              <w:rPr>
                <w:sz w:val="15"/>
              </w:rPr>
              <w:t>43.96</w:t>
            </w:r>
          </w:p>
        </w:tc>
        <w:tc>
          <w:tcPr>
            <w:tcW w:type="dxa" w:w="964"/>
            <w:shd w:val="clear" w:color="auto" w:fill="BFE3C6"/>
          </w:tcPr>
          <w:p>
            <w:pPr>
              <w:keepNext w:val="0"/>
              <w:spacing w:after="20" w:before="20" w:line="240" w:lineRule="auto"/>
              <w:jc w:val="center"/>
            </w:pPr>
            <w:r/>
            <w:r>
              <w:rPr>
                <w:sz w:val="15"/>
              </w:rPr>
              <w:t>Verde</w:t>
            </w:r>
          </w:p>
        </w:tc>
        <w:tc>
          <w:tcPr>
            <w:tcW w:type="dxa" w:w="794"/>
          </w:tcPr>
          <w:p>
            <w:pPr>
              <w:keepNext w:val="0"/>
              <w:spacing w:after="20" w:before="20" w:line="240" w:lineRule="auto"/>
              <w:jc w:val="center"/>
            </w:pPr>
            <w:r/>
            <w:r>
              <w:rPr>
                <w:sz w:val="15"/>
              </w:rPr>
              <w:t>47.55</w:t>
            </w:r>
          </w:p>
        </w:tc>
        <w:tc>
          <w:tcPr>
            <w:tcW w:type="dxa" w:w="737"/>
          </w:tcPr>
          <w:p>
            <w:pPr>
              <w:keepNext w:val="0"/>
              <w:spacing w:after="20" w:before="20" w:line="240" w:lineRule="auto"/>
              <w:jc w:val="center"/>
            </w:pPr>
            <w:r/>
            <w:r>
              <w:rPr>
                <w:sz w:val="15"/>
              </w:rPr>
              <w:t>39.4</w:t>
            </w:r>
          </w:p>
        </w:tc>
      </w:tr>
      <w:tr>
        <w:trPr>
          <w:cantSplit w:val="true"/>
        </w:trPr>
        <w:tc>
          <w:tcPr>
            <w:tcW w:type="dxa" w:w="2041"/>
            <w:shd w:val="clear" w:color="auto" w:fill="F2F5F8"/>
          </w:tcPr>
          <w:p>
            <w:pPr>
              <w:keepNext w:val="0"/>
              <w:spacing w:after="20" w:before="20" w:line="240" w:lineRule="auto"/>
              <w:jc w:val="left"/>
            </w:pPr>
            <w:r/>
            <w:r>
              <w:rPr>
                <w:sz w:val="15"/>
              </w:rPr>
              <w:t>Puebla</w:t>
            </w:r>
          </w:p>
        </w:tc>
        <w:tc>
          <w:tcPr>
            <w:tcW w:type="dxa" w:w="737"/>
            <w:shd w:val="clear" w:color="auto" w:fill="F2F5F8"/>
          </w:tcPr>
          <w:p>
            <w:pPr>
              <w:keepNext w:val="0"/>
              <w:spacing w:after="20" w:before="20" w:line="240" w:lineRule="auto"/>
              <w:jc w:val="center"/>
            </w:pPr>
            <w:r/>
            <w:r>
              <w:rPr>
                <w:sz w:val="15"/>
              </w:rPr>
              <w:t>No</w:t>
            </w:r>
          </w:p>
        </w:tc>
        <w:tc>
          <w:tcPr>
            <w:tcW w:type="dxa" w:w="794"/>
            <w:shd w:val="clear" w:color="auto" w:fill="F2F5F8"/>
          </w:tcPr>
          <w:p>
            <w:pPr>
              <w:keepNext w:val="0"/>
              <w:spacing w:after="20" w:before="20" w:line="240" w:lineRule="auto"/>
              <w:jc w:val="center"/>
            </w:pPr>
            <w:r/>
            <w:r>
              <w:rPr>
                <w:sz w:val="15"/>
              </w:rPr>
              <w:t>35.7</w:t>
            </w:r>
          </w:p>
        </w:tc>
        <w:tc>
          <w:tcPr>
            <w:tcW w:type="dxa" w:w="794"/>
            <w:shd w:val="clear" w:color="auto" w:fill="F2F5F8"/>
          </w:tcPr>
          <w:p>
            <w:pPr>
              <w:keepNext w:val="0"/>
              <w:spacing w:after="20" w:before="20" w:line="240" w:lineRule="auto"/>
              <w:jc w:val="center"/>
            </w:pPr>
            <w:r/>
            <w:r>
              <w:rPr>
                <w:sz w:val="15"/>
              </w:rPr>
              <w:t>46.92</w:t>
            </w:r>
          </w:p>
        </w:tc>
        <w:tc>
          <w:tcPr>
            <w:tcW w:type="dxa" w:w="1077"/>
            <w:shd w:val="clear" w:color="auto" w:fill="F2F5F8"/>
          </w:tcPr>
          <w:p>
            <w:pPr>
              <w:keepNext w:val="0"/>
              <w:spacing w:after="20" w:before="20" w:line="240" w:lineRule="auto"/>
              <w:jc w:val="center"/>
            </w:pPr>
            <w:r/>
            <w:r>
              <w:rPr>
                <w:sz w:val="15"/>
              </w:rPr>
              <w:t>42.3–51.5</w:t>
            </w:r>
          </w:p>
        </w:tc>
        <w:tc>
          <w:tcPr>
            <w:tcW w:type="dxa" w:w="964"/>
            <w:shd w:val="clear" w:color="auto" w:fill="FFE9A8"/>
          </w:tcPr>
          <w:p>
            <w:pPr>
              <w:keepNext w:val="0"/>
              <w:spacing w:after="20" w:before="20" w:line="240" w:lineRule="auto"/>
              <w:jc w:val="center"/>
            </w:pPr>
            <w:r/>
            <w:r>
              <w:rPr>
                <w:sz w:val="15"/>
              </w:rPr>
              <w:t>Amarillo</w:t>
            </w:r>
          </w:p>
        </w:tc>
        <w:tc>
          <w:tcPr>
            <w:tcW w:type="dxa" w:w="794"/>
            <w:shd w:val="clear" w:color="auto" w:fill="F2F5F8"/>
          </w:tcPr>
          <w:p>
            <w:pPr>
              <w:keepNext w:val="0"/>
              <w:spacing w:after="20" w:before="20" w:line="240" w:lineRule="auto"/>
              <w:jc w:val="center"/>
            </w:pPr>
            <w:r/>
            <w:r>
              <w:rPr>
                <w:sz w:val="15"/>
              </w:rPr>
              <w:t>43.72</w:t>
            </w:r>
          </w:p>
        </w:tc>
        <w:tc>
          <w:tcPr>
            <w:tcW w:type="dxa" w:w="964"/>
            <w:shd w:val="clear" w:color="auto" w:fill="BFE3C6"/>
          </w:tcPr>
          <w:p>
            <w:pPr>
              <w:keepNext w:val="0"/>
              <w:spacing w:after="20" w:before="20" w:line="240" w:lineRule="auto"/>
              <w:jc w:val="center"/>
            </w:pPr>
            <w:r/>
            <w:r>
              <w:rPr>
                <w:sz w:val="15"/>
              </w:rPr>
              <w:t>Verde</w:t>
            </w:r>
          </w:p>
        </w:tc>
        <w:tc>
          <w:tcPr>
            <w:tcW w:type="dxa" w:w="794"/>
            <w:shd w:val="clear" w:color="auto" w:fill="F2F5F8"/>
          </w:tcPr>
          <w:p>
            <w:pPr>
              <w:keepNext w:val="0"/>
              <w:spacing w:after="20" w:before="20" w:line="240" w:lineRule="auto"/>
              <w:jc w:val="center"/>
            </w:pPr>
            <w:r/>
            <w:r>
              <w:rPr>
                <w:sz w:val="15"/>
              </w:rPr>
              <w:t>46.92</w:t>
            </w:r>
          </w:p>
        </w:tc>
        <w:tc>
          <w:tcPr>
            <w:tcW w:type="dxa" w:w="737"/>
            <w:shd w:val="clear" w:color="auto" w:fill="F2F5F8"/>
          </w:tcPr>
          <w:p>
            <w:pPr>
              <w:keepNext w:val="0"/>
              <w:spacing w:after="20" w:before="20" w:line="240" w:lineRule="auto"/>
              <w:jc w:val="center"/>
            </w:pPr>
            <w:r/>
            <w:r>
              <w:rPr>
                <w:sz w:val="15"/>
              </w:rPr>
              <w:t>34.5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keepNext w:val="0"/>
              <w:spacing w:after="20" w:before="20" w:line="240" w:lineRule="auto"/>
              <w:jc w:val="left"/>
            </w:pPr>
            <w:r/>
            <w:r>
              <w:rPr>
                <w:sz w:val="15"/>
              </w:rPr>
              <w:t>Querétaro</w:t>
            </w:r>
          </w:p>
        </w:tc>
        <w:tc>
          <w:tcPr>
            <w:tcW w:type="dxa" w:w="737"/>
          </w:tcPr>
          <w:p>
            <w:pPr>
              <w:keepNext w:val="0"/>
              <w:spacing w:after="20" w:before="20" w:line="240" w:lineRule="auto"/>
              <w:jc w:val="center"/>
            </w:pPr>
            <w:r/>
            <w:r>
              <w:rPr>
                <w:sz w:val="15"/>
              </w:rPr>
              <w:t>Sí</w:t>
            </w:r>
          </w:p>
        </w:tc>
        <w:tc>
          <w:tcPr>
            <w:tcW w:type="dxa" w:w="794"/>
          </w:tcPr>
          <w:p>
            <w:pPr>
              <w:keepNext w:val="0"/>
              <w:spacing w:after="20" w:before="20" w:line="240" w:lineRule="auto"/>
              <w:jc w:val="center"/>
            </w:pPr>
            <w:r/>
            <w:r>
              <w:rPr>
                <w:sz w:val="15"/>
              </w:rPr>
              <w:t>39.0</w:t>
            </w:r>
          </w:p>
        </w:tc>
        <w:tc>
          <w:tcPr>
            <w:tcW w:type="dxa" w:w="794"/>
          </w:tcPr>
          <w:p>
            <w:pPr>
              <w:keepNext w:val="0"/>
              <w:spacing w:after="20" w:before="20" w:line="240" w:lineRule="auto"/>
              <w:jc w:val="center"/>
            </w:pPr>
            <w:r/>
            <w:r>
              <w:rPr>
                <w:sz w:val="15"/>
              </w:rPr>
              <w:t>46.88</w:t>
            </w:r>
          </w:p>
        </w:tc>
        <w:tc>
          <w:tcPr>
            <w:tcW w:type="dxa" w:w="1077"/>
          </w:tcPr>
          <w:p>
            <w:pPr>
              <w:keepNext w:val="0"/>
              <w:spacing w:after="20" w:before="20" w:line="240" w:lineRule="auto"/>
              <w:jc w:val="center"/>
            </w:pPr>
            <w:r/>
            <w:r>
              <w:rPr>
                <w:sz w:val="15"/>
              </w:rPr>
              <w:t>42.3–51.5</w:t>
            </w:r>
          </w:p>
        </w:tc>
        <w:tc>
          <w:tcPr>
            <w:tcW w:type="dxa" w:w="964"/>
            <w:shd w:val="clear" w:color="auto" w:fill="FFE9A8"/>
          </w:tcPr>
          <w:p>
            <w:pPr>
              <w:keepNext w:val="0"/>
              <w:spacing w:after="20" w:before="20" w:line="240" w:lineRule="auto"/>
              <w:jc w:val="center"/>
            </w:pPr>
            <w:r/>
            <w:r>
              <w:rPr>
                <w:sz w:val="15"/>
              </w:rPr>
              <w:t>Amarillo</w:t>
            </w:r>
          </w:p>
        </w:tc>
        <w:tc>
          <w:tcPr>
            <w:tcW w:type="dxa" w:w="794"/>
          </w:tcPr>
          <w:p>
            <w:pPr>
              <w:keepNext w:val="0"/>
              <w:spacing w:after="20" w:before="20" w:line="240" w:lineRule="auto"/>
              <w:jc w:val="center"/>
            </w:pPr>
            <w:r/>
            <w:r>
              <w:rPr>
                <w:sz w:val="15"/>
              </w:rPr>
              <w:t>43.87</w:t>
            </w:r>
          </w:p>
        </w:tc>
        <w:tc>
          <w:tcPr>
            <w:tcW w:type="dxa" w:w="964"/>
            <w:shd w:val="clear" w:color="auto" w:fill="BFE3C6"/>
          </w:tcPr>
          <w:p>
            <w:pPr>
              <w:keepNext w:val="0"/>
              <w:spacing w:after="20" w:before="20" w:line="240" w:lineRule="auto"/>
              <w:jc w:val="center"/>
            </w:pPr>
            <w:r/>
            <w:r>
              <w:rPr>
                <w:sz w:val="15"/>
              </w:rPr>
              <w:t>Verde</w:t>
            </w:r>
          </w:p>
        </w:tc>
        <w:tc>
          <w:tcPr>
            <w:tcW w:type="dxa" w:w="794"/>
          </w:tcPr>
          <w:p>
            <w:pPr>
              <w:keepNext w:val="0"/>
              <w:spacing w:after="20" w:before="20" w:line="240" w:lineRule="auto"/>
              <w:jc w:val="center"/>
            </w:pPr>
            <w:r/>
            <w:r>
              <w:rPr>
                <w:sz w:val="15"/>
              </w:rPr>
              <w:t>46.88</w:t>
            </w:r>
          </w:p>
        </w:tc>
        <w:tc>
          <w:tcPr>
            <w:tcW w:type="dxa" w:w="737"/>
          </w:tcPr>
          <w:p>
            <w:pPr>
              <w:keepNext w:val="0"/>
              <w:spacing w:after="20" w:before="20" w:line="240" w:lineRule="auto"/>
              <w:jc w:val="center"/>
            </w:pPr>
            <w:r/>
            <w:r>
              <w:rPr>
                <w:sz w:val="15"/>
              </w:rPr>
              <w:t>39.6</w:t>
            </w:r>
          </w:p>
        </w:tc>
      </w:tr>
      <w:tr>
        <w:trPr>
          <w:cantSplit w:val="true"/>
        </w:trPr>
        <w:tc>
          <w:tcPr>
            <w:tcW w:type="dxa" w:w="2041"/>
            <w:shd w:val="clear" w:color="auto" w:fill="F2F5F8"/>
          </w:tcPr>
          <w:p>
            <w:pPr>
              <w:keepNext w:val="0"/>
              <w:spacing w:after="20" w:before="20" w:line="240" w:lineRule="auto"/>
              <w:jc w:val="left"/>
            </w:pPr>
            <w:r/>
            <w:r>
              <w:rPr>
                <w:sz w:val="15"/>
              </w:rPr>
              <w:t>Guerrero</w:t>
            </w:r>
          </w:p>
        </w:tc>
        <w:tc>
          <w:tcPr>
            <w:tcW w:type="dxa" w:w="737"/>
            <w:shd w:val="clear" w:color="auto" w:fill="F2F5F8"/>
          </w:tcPr>
          <w:p>
            <w:pPr>
              <w:keepNext w:val="0"/>
              <w:spacing w:after="20" w:before="20" w:line="240" w:lineRule="auto"/>
              <w:jc w:val="center"/>
            </w:pPr>
            <w:r/>
            <w:r>
              <w:rPr>
                <w:sz w:val="15"/>
              </w:rPr>
              <w:t>Sí</w:t>
            </w:r>
          </w:p>
        </w:tc>
        <w:tc>
          <w:tcPr>
            <w:tcW w:type="dxa" w:w="794"/>
            <w:shd w:val="clear" w:color="auto" w:fill="F2F5F8"/>
          </w:tcPr>
          <w:p>
            <w:pPr>
              <w:keepNext w:val="0"/>
              <w:spacing w:after="20" w:before="20" w:line="240" w:lineRule="auto"/>
              <w:jc w:val="center"/>
            </w:pPr>
            <w:r/>
            <w:r>
              <w:rPr>
                <w:sz w:val="15"/>
              </w:rPr>
              <w:t>43.2</w:t>
            </w:r>
          </w:p>
        </w:tc>
        <w:tc>
          <w:tcPr>
            <w:tcW w:type="dxa" w:w="794"/>
            <w:shd w:val="clear" w:color="auto" w:fill="F2F5F8"/>
          </w:tcPr>
          <w:p>
            <w:pPr>
              <w:keepNext w:val="0"/>
              <w:spacing w:after="20" w:before="20" w:line="240" w:lineRule="auto"/>
              <w:jc w:val="center"/>
            </w:pPr>
            <w:r/>
            <w:r>
              <w:rPr>
                <w:sz w:val="15"/>
              </w:rPr>
              <w:t>46.45</w:t>
            </w:r>
          </w:p>
        </w:tc>
        <w:tc>
          <w:tcPr>
            <w:tcW w:type="dxa" w:w="1077"/>
            <w:shd w:val="clear" w:color="auto" w:fill="F2F5F8"/>
          </w:tcPr>
          <w:p>
            <w:pPr>
              <w:keepNext w:val="0"/>
              <w:spacing w:after="20" w:before="20" w:line="240" w:lineRule="auto"/>
              <w:jc w:val="center"/>
            </w:pPr>
            <w:r/>
            <w:r>
              <w:rPr>
                <w:sz w:val="15"/>
              </w:rPr>
              <w:t>41.8–51.1</w:t>
            </w:r>
          </w:p>
        </w:tc>
        <w:tc>
          <w:tcPr>
            <w:tcW w:type="dxa" w:w="964"/>
            <w:shd w:val="clear" w:color="auto" w:fill="FFE9A8"/>
          </w:tcPr>
          <w:p>
            <w:pPr>
              <w:keepNext w:val="0"/>
              <w:spacing w:after="20" w:before="20" w:line="240" w:lineRule="auto"/>
              <w:jc w:val="center"/>
            </w:pPr>
            <w:r/>
            <w:r>
              <w:rPr>
                <w:sz w:val="15"/>
              </w:rPr>
              <w:t>Amarillo</w:t>
            </w:r>
          </w:p>
        </w:tc>
        <w:tc>
          <w:tcPr>
            <w:tcW w:type="dxa" w:w="794"/>
            <w:shd w:val="clear" w:color="auto" w:fill="F2F5F8"/>
          </w:tcPr>
          <w:p>
            <w:pPr>
              <w:keepNext w:val="0"/>
              <w:spacing w:after="20" w:before="20" w:line="240" w:lineRule="auto"/>
              <w:jc w:val="center"/>
            </w:pPr>
            <w:r/>
            <w:r>
              <w:rPr>
                <w:sz w:val="15"/>
              </w:rPr>
              <w:t>42.56</w:t>
            </w:r>
          </w:p>
        </w:tc>
        <w:tc>
          <w:tcPr>
            <w:tcW w:type="dxa" w:w="964"/>
            <w:shd w:val="clear" w:color="auto" w:fill="BFE3C6"/>
          </w:tcPr>
          <w:p>
            <w:pPr>
              <w:keepNext w:val="0"/>
              <w:spacing w:after="20" w:before="20" w:line="240" w:lineRule="auto"/>
              <w:jc w:val="center"/>
            </w:pPr>
            <w:r/>
            <w:r>
              <w:rPr>
                <w:sz w:val="15"/>
              </w:rPr>
              <w:t>Verde</w:t>
            </w:r>
          </w:p>
        </w:tc>
        <w:tc>
          <w:tcPr>
            <w:tcW w:type="dxa" w:w="794"/>
            <w:shd w:val="clear" w:color="auto" w:fill="F2F5F8"/>
          </w:tcPr>
          <w:p>
            <w:pPr>
              <w:keepNext w:val="0"/>
              <w:spacing w:after="20" w:before="20" w:line="240" w:lineRule="auto"/>
              <w:jc w:val="center"/>
            </w:pPr>
            <w:r/>
            <w:r>
              <w:rPr>
                <w:sz w:val="15"/>
              </w:rPr>
              <w:t>46.45</w:t>
            </w:r>
          </w:p>
        </w:tc>
        <w:tc>
          <w:tcPr>
            <w:tcW w:type="dxa" w:w="737"/>
            <w:shd w:val="clear" w:color="auto" w:fill="F2F5F8"/>
          </w:tcPr>
          <w:p>
            <w:pPr>
              <w:keepNext w:val="0"/>
              <w:spacing w:after="20" w:before="20" w:line="240" w:lineRule="auto"/>
              <w:jc w:val="center"/>
            </w:pPr>
            <w:r/>
            <w:r>
              <w:rPr>
                <w:sz w:val="15"/>
              </w:rPr>
              <w:t>41.5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keepNext w:val="0"/>
              <w:spacing w:after="20" w:before="20" w:line="240" w:lineRule="auto"/>
              <w:jc w:val="left"/>
            </w:pPr>
            <w:r/>
            <w:r>
              <w:rPr>
                <w:sz w:val="15"/>
              </w:rPr>
              <w:t>México</w:t>
            </w:r>
          </w:p>
        </w:tc>
        <w:tc>
          <w:tcPr>
            <w:tcW w:type="dxa" w:w="737"/>
          </w:tcPr>
          <w:p>
            <w:pPr>
              <w:keepNext w:val="0"/>
              <w:spacing w:after="20" w:before="20" w:line="240" w:lineRule="auto"/>
              <w:jc w:val="center"/>
            </w:pPr>
            <w:r/>
            <w:r>
              <w:rPr>
                <w:sz w:val="15"/>
              </w:rPr>
              <w:t>No</w:t>
            </w:r>
          </w:p>
        </w:tc>
        <w:tc>
          <w:tcPr>
            <w:tcW w:type="dxa" w:w="794"/>
          </w:tcPr>
          <w:p>
            <w:pPr>
              <w:keepNext w:val="0"/>
              <w:spacing w:after="20" w:before="20" w:line="240" w:lineRule="auto"/>
              <w:jc w:val="center"/>
            </w:pPr>
            <w:r/>
            <w:r>
              <w:rPr>
                <w:sz w:val="15"/>
              </w:rPr>
              <w:t>36.1</w:t>
            </w:r>
          </w:p>
        </w:tc>
        <w:tc>
          <w:tcPr>
            <w:tcW w:type="dxa" w:w="794"/>
          </w:tcPr>
          <w:p>
            <w:pPr>
              <w:keepNext w:val="0"/>
              <w:spacing w:after="20" w:before="20" w:line="240" w:lineRule="auto"/>
              <w:jc w:val="center"/>
            </w:pPr>
            <w:r/>
            <w:r>
              <w:rPr>
                <w:sz w:val="15"/>
              </w:rPr>
              <w:t>46.05</w:t>
            </w:r>
          </w:p>
        </w:tc>
        <w:tc>
          <w:tcPr>
            <w:tcW w:type="dxa" w:w="1077"/>
          </w:tcPr>
          <w:p>
            <w:pPr>
              <w:keepNext w:val="0"/>
              <w:spacing w:after="20" w:before="20" w:line="240" w:lineRule="auto"/>
              <w:jc w:val="center"/>
            </w:pPr>
            <w:r/>
            <w:r>
              <w:rPr>
                <w:sz w:val="15"/>
              </w:rPr>
              <w:t>41.4–50.7</w:t>
            </w:r>
          </w:p>
        </w:tc>
        <w:tc>
          <w:tcPr>
            <w:tcW w:type="dxa" w:w="964"/>
            <w:shd w:val="clear" w:color="auto" w:fill="FFE9A8"/>
          </w:tcPr>
          <w:p>
            <w:pPr>
              <w:keepNext w:val="0"/>
              <w:spacing w:after="20" w:before="20" w:line="240" w:lineRule="auto"/>
              <w:jc w:val="center"/>
            </w:pPr>
            <w:r/>
            <w:r>
              <w:rPr>
                <w:sz w:val="15"/>
              </w:rPr>
              <w:t>Amarillo</w:t>
            </w:r>
          </w:p>
        </w:tc>
        <w:tc>
          <w:tcPr>
            <w:tcW w:type="dxa" w:w="794"/>
          </w:tcPr>
          <w:p>
            <w:pPr>
              <w:keepNext w:val="0"/>
              <w:spacing w:after="20" w:before="20" w:line="240" w:lineRule="auto"/>
              <w:jc w:val="center"/>
            </w:pPr>
            <w:r/>
            <w:r>
              <w:rPr>
                <w:sz w:val="15"/>
              </w:rPr>
              <w:t>43.28</w:t>
            </w:r>
          </w:p>
        </w:tc>
        <w:tc>
          <w:tcPr>
            <w:tcW w:type="dxa" w:w="964"/>
            <w:shd w:val="clear" w:color="auto" w:fill="BFE3C6"/>
          </w:tcPr>
          <w:p>
            <w:pPr>
              <w:keepNext w:val="0"/>
              <w:spacing w:after="20" w:before="20" w:line="240" w:lineRule="auto"/>
              <w:jc w:val="center"/>
            </w:pPr>
            <w:r/>
            <w:r>
              <w:rPr>
                <w:sz w:val="15"/>
              </w:rPr>
              <w:t>Verde</w:t>
            </w:r>
          </w:p>
        </w:tc>
        <w:tc>
          <w:tcPr>
            <w:tcW w:type="dxa" w:w="794"/>
          </w:tcPr>
          <w:p>
            <w:pPr>
              <w:keepNext w:val="0"/>
              <w:spacing w:after="20" w:before="20" w:line="240" w:lineRule="auto"/>
              <w:jc w:val="center"/>
            </w:pPr>
            <w:r/>
            <w:r>
              <w:rPr>
                <w:sz w:val="15"/>
              </w:rPr>
              <w:t>46.05</w:t>
            </w:r>
          </w:p>
        </w:tc>
        <w:tc>
          <w:tcPr>
            <w:tcW w:type="dxa" w:w="737"/>
          </w:tcPr>
          <w:p>
            <w:pPr>
              <w:keepNext w:val="0"/>
              <w:spacing w:after="20" w:before="20" w:line="240" w:lineRule="auto"/>
              <w:jc w:val="center"/>
            </w:pPr>
            <w:r/>
            <w:r>
              <w:rPr>
                <w:sz w:val="15"/>
              </w:rPr>
              <w:t>36.0</w:t>
            </w:r>
          </w:p>
        </w:tc>
      </w:tr>
      <w:tr>
        <w:trPr>
          <w:cantSplit w:val="true"/>
        </w:trPr>
        <w:tc>
          <w:tcPr>
            <w:tcW w:type="dxa" w:w="2041"/>
            <w:shd w:val="clear" w:color="auto" w:fill="F2F5F8"/>
          </w:tcPr>
          <w:p>
            <w:pPr>
              <w:keepNext w:val="0"/>
              <w:spacing w:after="20" w:before="20" w:line="240" w:lineRule="auto"/>
              <w:jc w:val="left"/>
            </w:pPr>
            <w:r/>
            <w:r>
              <w:rPr>
                <w:sz w:val="15"/>
              </w:rPr>
              <w:t>Ciudad de México</w:t>
            </w:r>
          </w:p>
        </w:tc>
        <w:tc>
          <w:tcPr>
            <w:tcW w:type="dxa" w:w="737"/>
            <w:shd w:val="clear" w:color="auto" w:fill="F2F5F8"/>
          </w:tcPr>
          <w:p>
            <w:pPr>
              <w:keepNext w:val="0"/>
              <w:spacing w:after="20" w:before="20" w:line="240" w:lineRule="auto"/>
              <w:jc w:val="center"/>
            </w:pPr>
            <w:r/>
            <w:r>
              <w:rPr>
                <w:sz w:val="15"/>
              </w:rPr>
              <w:t>No</w:t>
            </w:r>
          </w:p>
        </w:tc>
        <w:tc>
          <w:tcPr>
            <w:tcW w:type="dxa" w:w="794"/>
            <w:shd w:val="clear" w:color="auto" w:fill="F2F5F8"/>
          </w:tcPr>
          <w:p>
            <w:pPr>
              <w:keepNext w:val="0"/>
              <w:spacing w:after="20" w:before="20" w:line="240" w:lineRule="auto"/>
              <w:jc w:val="center"/>
            </w:pPr>
            <w:r/>
            <w:r>
              <w:rPr>
                <w:sz w:val="15"/>
              </w:rPr>
              <w:t>30.7</w:t>
            </w:r>
          </w:p>
        </w:tc>
        <w:tc>
          <w:tcPr>
            <w:tcW w:type="dxa" w:w="794"/>
            <w:shd w:val="clear" w:color="auto" w:fill="F2F5F8"/>
          </w:tcPr>
          <w:p>
            <w:pPr>
              <w:keepNext w:val="0"/>
              <w:spacing w:after="20" w:before="20" w:line="240" w:lineRule="auto"/>
              <w:jc w:val="center"/>
            </w:pPr>
            <w:r/>
            <w:r>
              <w:rPr>
                <w:sz w:val="15"/>
              </w:rPr>
              <w:t>46.04</w:t>
            </w:r>
          </w:p>
        </w:tc>
        <w:tc>
          <w:tcPr>
            <w:tcW w:type="dxa" w:w="1077"/>
            <w:shd w:val="clear" w:color="auto" w:fill="F2F5F8"/>
          </w:tcPr>
          <w:p>
            <w:pPr>
              <w:keepNext w:val="0"/>
              <w:spacing w:after="20" w:before="20" w:line="240" w:lineRule="auto"/>
              <w:jc w:val="center"/>
            </w:pPr>
            <w:r/>
            <w:r>
              <w:rPr>
                <w:sz w:val="15"/>
              </w:rPr>
              <w:t>41.4–50.7</w:t>
            </w:r>
          </w:p>
        </w:tc>
        <w:tc>
          <w:tcPr>
            <w:tcW w:type="dxa" w:w="964"/>
            <w:shd w:val="clear" w:color="auto" w:fill="FFE9A8"/>
          </w:tcPr>
          <w:p>
            <w:pPr>
              <w:keepNext w:val="0"/>
              <w:spacing w:after="20" w:before="20" w:line="240" w:lineRule="auto"/>
              <w:jc w:val="center"/>
            </w:pPr>
            <w:r/>
            <w:r>
              <w:rPr>
                <w:sz w:val="15"/>
              </w:rPr>
              <w:t>Amarillo</w:t>
            </w:r>
          </w:p>
        </w:tc>
        <w:tc>
          <w:tcPr>
            <w:tcW w:type="dxa" w:w="794"/>
            <w:shd w:val="clear" w:color="auto" w:fill="F2F5F8"/>
          </w:tcPr>
          <w:p>
            <w:pPr>
              <w:keepNext w:val="0"/>
              <w:spacing w:after="20" w:before="20" w:line="240" w:lineRule="auto"/>
              <w:jc w:val="center"/>
            </w:pPr>
            <w:r/>
            <w:r>
              <w:rPr>
                <w:sz w:val="15"/>
              </w:rPr>
              <w:t>44.17</w:t>
            </w:r>
          </w:p>
        </w:tc>
        <w:tc>
          <w:tcPr>
            <w:tcW w:type="dxa" w:w="964"/>
            <w:shd w:val="clear" w:color="auto" w:fill="BFE3C6"/>
          </w:tcPr>
          <w:p>
            <w:pPr>
              <w:keepNext w:val="0"/>
              <w:spacing w:after="20" w:before="20" w:line="240" w:lineRule="auto"/>
              <w:jc w:val="center"/>
            </w:pPr>
            <w:r/>
            <w:r>
              <w:rPr>
                <w:sz w:val="15"/>
              </w:rPr>
              <w:t>Verde</w:t>
            </w:r>
          </w:p>
        </w:tc>
        <w:tc>
          <w:tcPr>
            <w:tcW w:type="dxa" w:w="794"/>
            <w:shd w:val="clear" w:color="auto" w:fill="F2F5F8"/>
          </w:tcPr>
          <w:p>
            <w:pPr>
              <w:keepNext w:val="0"/>
              <w:spacing w:after="20" w:before="20" w:line="240" w:lineRule="auto"/>
              <w:jc w:val="center"/>
            </w:pPr>
            <w:r/>
            <w:r>
              <w:rPr>
                <w:sz w:val="15"/>
              </w:rPr>
              <w:t>46.04</w:t>
            </w:r>
          </w:p>
        </w:tc>
        <w:tc>
          <w:tcPr>
            <w:tcW w:type="dxa" w:w="737"/>
            <w:shd w:val="clear" w:color="auto" w:fill="F2F5F8"/>
          </w:tcPr>
          <w:p>
            <w:pPr>
              <w:keepNext w:val="0"/>
              <w:spacing w:after="20" w:before="20" w:line="240" w:lineRule="auto"/>
              <w:jc w:val="center"/>
            </w:pPr>
            <w:r/>
            <w:r>
              <w:rPr>
                <w:sz w:val="15"/>
              </w:rPr>
              <w:t>31.5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keepNext w:val="0"/>
              <w:spacing w:after="20" w:before="20" w:line="240" w:lineRule="auto"/>
              <w:jc w:val="left"/>
            </w:pPr>
            <w:r/>
            <w:r>
              <w:rPr>
                <w:sz w:val="15"/>
              </w:rPr>
              <w:t>Zacatecas</w:t>
            </w:r>
          </w:p>
        </w:tc>
        <w:tc>
          <w:tcPr>
            <w:tcW w:type="dxa" w:w="737"/>
          </w:tcPr>
          <w:p>
            <w:pPr>
              <w:keepNext w:val="0"/>
              <w:spacing w:after="20" w:before="20" w:line="240" w:lineRule="auto"/>
              <w:jc w:val="center"/>
            </w:pPr>
            <w:r/>
            <w:r>
              <w:rPr>
                <w:sz w:val="15"/>
              </w:rPr>
              <w:t>Sí</w:t>
            </w:r>
          </w:p>
        </w:tc>
        <w:tc>
          <w:tcPr>
            <w:tcW w:type="dxa" w:w="794"/>
          </w:tcPr>
          <w:p>
            <w:pPr>
              <w:keepNext w:val="0"/>
              <w:spacing w:after="20" w:before="20" w:line="240" w:lineRule="auto"/>
              <w:jc w:val="center"/>
            </w:pPr>
            <w:r/>
            <w:r>
              <w:rPr>
                <w:sz w:val="15"/>
              </w:rPr>
              <w:t>41.1</w:t>
            </w:r>
          </w:p>
        </w:tc>
        <w:tc>
          <w:tcPr>
            <w:tcW w:type="dxa" w:w="794"/>
          </w:tcPr>
          <w:p>
            <w:pPr>
              <w:keepNext w:val="0"/>
              <w:spacing w:after="20" w:before="20" w:line="240" w:lineRule="auto"/>
              <w:jc w:val="center"/>
            </w:pPr>
            <w:r/>
            <w:r>
              <w:rPr>
                <w:sz w:val="15"/>
              </w:rPr>
              <w:t>45.37</w:t>
            </w:r>
          </w:p>
        </w:tc>
        <w:tc>
          <w:tcPr>
            <w:tcW w:type="dxa" w:w="1077"/>
          </w:tcPr>
          <w:p>
            <w:pPr>
              <w:keepNext w:val="0"/>
              <w:spacing w:after="20" w:before="20" w:line="240" w:lineRule="auto"/>
              <w:jc w:val="center"/>
            </w:pPr>
            <w:r/>
            <w:r>
              <w:rPr>
                <w:sz w:val="15"/>
              </w:rPr>
              <w:t>40.8–50.0</w:t>
            </w:r>
          </w:p>
        </w:tc>
        <w:tc>
          <w:tcPr>
            <w:tcW w:type="dxa" w:w="964"/>
            <w:shd w:val="clear" w:color="auto" w:fill="BFE3C6"/>
          </w:tcPr>
          <w:p>
            <w:pPr>
              <w:keepNext w:val="0"/>
              <w:spacing w:after="20" w:before="20" w:line="240" w:lineRule="auto"/>
              <w:jc w:val="center"/>
            </w:pPr>
            <w:r/>
            <w:r>
              <w:rPr>
                <w:sz w:val="15"/>
              </w:rPr>
              <w:t>Verde</w:t>
            </w:r>
          </w:p>
        </w:tc>
        <w:tc>
          <w:tcPr>
            <w:tcW w:type="dxa" w:w="794"/>
          </w:tcPr>
          <w:p>
            <w:pPr>
              <w:keepNext w:val="0"/>
              <w:spacing w:after="20" w:before="20" w:line="240" w:lineRule="auto"/>
              <w:jc w:val="center"/>
            </w:pPr>
            <w:r/>
            <w:r>
              <w:rPr>
                <w:sz w:val="15"/>
              </w:rPr>
              <w:t>42.01</w:t>
            </w:r>
          </w:p>
        </w:tc>
        <w:tc>
          <w:tcPr>
            <w:tcW w:type="dxa" w:w="964"/>
            <w:shd w:val="clear" w:color="auto" w:fill="BFE3C6"/>
          </w:tcPr>
          <w:p>
            <w:pPr>
              <w:keepNext w:val="0"/>
              <w:spacing w:after="20" w:before="20" w:line="240" w:lineRule="auto"/>
              <w:jc w:val="center"/>
            </w:pPr>
            <w:r/>
            <w:r>
              <w:rPr>
                <w:sz w:val="15"/>
              </w:rPr>
              <w:t>Verde</w:t>
            </w:r>
          </w:p>
        </w:tc>
        <w:tc>
          <w:tcPr>
            <w:tcW w:type="dxa" w:w="794"/>
          </w:tcPr>
          <w:p>
            <w:pPr>
              <w:keepNext w:val="0"/>
              <w:spacing w:after="20" w:before="20" w:line="240" w:lineRule="auto"/>
              <w:jc w:val="center"/>
            </w:pPr>
            <w:r/>
            <w:r>
              <w:rPr>
                <w:sz w:val="15"/>
              </w:rPr>
              <w:t>45.37</w:t>
            </w:r>
          </w:p>
        </w:tc>
        <w:tc>
          <w:tcPr>
            <w:tcW w:type="dxa" w:w="737"/>
          </w:tcPr>
          <w:p>
            <w:pPr>
              <w:keepNext w:val="0"/>
              <w:spacing w:after="20" w:before="20" w:line="240" w:lineRule="auto"/>
              <w:jc w:val="center"/>
            </w:pPr>
            <w:r/>
            <w:r>
              <w:rPr>
                <w:sz w:val="15"/>
              </w:rPr>
              <w:t>39.9</w:t>
            </w:r>
          </w:p>
        </w:tc>
      </w:tr>
      <w:tr>
        <w:trPr>
          <w:cantSplit w:val="true"/>
        </w:trPr>
        <w:tc>
          <w:tcPr>
            <w:tcW w:type="dxa" w:w="2041"/>
            <w:shd w:val="clear" w:color="auto" w:fill="F2F5F8"/>
          </w:tcPr>
          <w:p>
            <w:pPr>
              <w:keepNext w:val="0"/>
              <w:spacing w:after="20" w:before="20" w:line="240" w:lineRule="auto"/>
              <w:jc w:val="left"/>
            </w:pPr>
            <w:r/>
            <w:r>
              <w:rPr>
                <w:sz w:val="15"/>
              </w:rPr>
              <w:t>Chiapas</w:t>
            </w:r>
          </w:p>
        </w:tc>
        <w:tc>
          <w:tcPr>
            <w:tcW w:type="dxa" w:w="737"/>
            <w:shd w:val="clear" w:color="auto" w:fill="F2F5F8"/>
          </w:tcPr>
          <w:p>
            <w:pPr>
              <w:keepNext w:val="0"/>
              <w:spacing w:after="20" w:before="20" w:line="240" w:lineRule="auto"/>
              <w:jc w:val="center"/>
            </w:pPr>
            <w:r/>
            <w:r>
              <w:rPr>
                <w:sz w:val="15"/>
              </w:rPr>
              <w:t>No</w:t>
            </w:r>
          </w:p>
        </w:tc>
        <w:tc>
          <w:tcPr>
            <w:tcW w:type="dxa" w:w="794"/>
            <w:shd w:val="clear" w:color="auto" w:fill="F2F5F8"/>
          </w:tcPr>
          <w:p>
            <w:pPr>
              <w:keepNext w:val="0"/>
              <w:spacing w:after="20" w:before="20" w:line="240" w:lineRule="auto"/>
              <w:jc w:val="center"/>
            </w:pPr>
            <w:r/>
            <w:r>
              <w:rPr>
                <w:sz w:val="15"/>
              </w:rPr>
              <w:t>38.2</w:t>
            </w:r>
          </w:p>
        </w:tc>
        <w:tc>
          <w:tcPr>
            <w:tcW w:type="dxa" w:w="794"/>
            <w:shd w:val="clear" w:color="auto" w:fill="F2F5F8"/>
          </w:tcPr>
          <w:p>
            <w:pPr>
              <w:keepNext w:val="0"/>
              <w:spacing w:after="20" w:before="20" w:line="240" w:lineRule="auto"/>
              <w:jc w:val="center"/>
            </w:pPr>
            <w:r/>
            <w:r>
              <w:rPr>
                <w:sz w:val="15"/>
              </w:rPr>
              <w:t>44.93</w:t>
            </w:r>
          </w:p>
        </w:tc>
        <w:tc>
          <w:tcPr>
            <w:tcW w:type="dxa" w:w="1077"/>
            <w:shd w:val="clear" w:color="auto" w:fill="F2F5F8"/>
          </w:tcPr>
          <w:p>
            <w:pPr>
              <w:keepNext w:val="0"/>
              <w:spacing w:after="20" w:before="20" w:line="240" w:lineRule="auto"/>
              <w:jc w:val="center"/>
            </w:pPr>
            <w:r/>
            <w:r>
              <w:rPr>
                <w:sz w:val="15"/>
              </w:rPr>
              <w:t>40.3–49.5</w:t>
            </w:r>
          </w:p>
        </w:tc>
        <w:tc>
          <w:tcPr>
            <w:tcW w:type="dxa" w:w="964"/>
            <w:shd w:val="clear" w:color="auto" w:fill="BFE3C6"/>
          </w:tcPr>
          <w:p>
            <w:pPr>
              <w:keepNext w:val="0"/>
              <w:spacing w:after="20" w:before="20" w:line="240" w:lineRule="auto"/>
              <w:jc w:val="center"/>
            </w:pPr>
            <w:r/>
            <w:r>
              <w:rPr>
                <w:sz w:val="15"/>
              </w:rPr>
              <w:t>Verde</w:t>
            </w:r>
          </w:p>
        </w:tc>
        <w:tc>
          <w:tcPr>
            <w:tcW w:type="dxa" w:w="794"/>
            <w:shd w:val="clear" w:color="auto" w:fill="F2F5F8"/>
          </w:tcPr>
          <w:p>
            <w:pPr>
              <w:keepNext w:val="0"/>
              <w:spacing w:after="20" w:before="20" w:line="240" w:lineRule="auto"/>
              <w:jc w:val="center"/>
            </w:pPr>
            <w:r/>
            <w:r>
              <w:rPr>
                <w:sz w:val="15"/>
              </w:rPr>
              <w:t>40.79</w:t>
            </w:r>
          </w:p>
        </w:tc>
        <w:tc>
          <w:tcPr>
            <w:tcW w:type="dxa" w:w="964"/>
            <w:shd w:val="clear" w:color="auto" w:fill="BFE3C6"/>
          </w:tcPr>
          <w:p>
            <w:pPr>
              <w:keepNext w:val="0"/>
              <w:spacing w:after="20" w:before="20" w:line="240" w:lineRule="auto"/>
              <w:jc w:val="center"/>
            </w:pPr>
            <w:r/>
            <w:r>
              <w:rPr>
                <w:sz w:val="15"/>
              </w:rPr>
              <w:t>Verde</w:t>
            </w:r>
          </w:p>
        </w:tc>
        <w:tc>
          <w:tcPr>
            <w:tcW w:type="dxa" w:w="794"/>
            <w:shd w:val="clear" w:color="auto" w:fill="F2F5F8"/>
          </w:tcPr>
          <w:p>
            <w:pPr>
              <w:keepNext w:val="0"/>
              <w:spacing w:after="20" w:before="20" w:line="240" w:lineRule="auto"/>
              <w:jc w:val="center"/>
            </w:pPr>
            <w:r/>
            <w:r>
              <w:rPr>
                <w:sz w:val="15"/>
              </w:rPr>
              <w:t>44.93</w:t>
            </w:r>
          </w:p>
        </w:tc>
        <w:tc>
          <w:tcPr>
            <w:tcW w:type="dxa" w:w="737"/>
            <w:shd w:val="clear" w:color="auto" w:fill="F2F5F8"/>
          </w:tcPr>
          <w:p>
            <w:pPr>
              <w:keepNext w:val="0"/>
              <w:spacing w:after="20" w:before="20" w:line="240" w:lineRule="auto"/>
              <w:jc w:val="center"/>
            </w:pPr>
            <w:r/>
            <w:r>
              <w:rPr>
                <w:sz w:val="15"/>
              </w:rPr>
              <w:t>34.7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keepNext w:val="0"/>
              <w:spacing w:after="20" w:before="20" w:line="240" w:lineRule="auto"/>
              <w:jc w:val="left"/>
            </w:pPr>
            <w:r/>
            <w:r>
              <w:rPr>
                <w:sz w:val="15"/>
              </w:rPr>
              <w:t>Aguascalientes</w:t>
            </w:r>
          </w:p>
        </w:tc>
        <w:tc>
          <w:tcPr>
            <w:tcW w:type="dxa" w:w="737"/>
          </w:tcPr>
          <w:p>
            <w:pPr>
              <w:keepNext w:val="0"/>
              <w:spacing w:after="20" w:before="20" w:line="240" w:lineRule="auto"/>
              <w:jc w:val="center"/>
            </w:pPr>
            <w:r/>
            <w:r>
              <w:rPr>
                <w:sz w:val="15"/>
              </w:rPr>
              <w:t>Sí</w:t>
            </w:r>
          </w:p>
        </w:tc>
        <w:tc>
          <w:tcPr>
            <w:tcW w:type="dxa" w:w="794"/>
          </w:tcPr>
          <w:p>
            <w:pPr>
              <w:keepNext w:val="0"/>
              <w:spacing w:after="20" w:before="20" w:line="240" w:lineRule="auto"/>
              <w:jc w:val="center"/>
            </w:pPr>
            <w:r/>
            <w:r>
              <w:rPr>
                <w:sz w:val="15"/>
              </w:rPr>
              <w:t>41.3</w:t>
            </w:r>
          </w:p>
        </w:tc>
        <w:tc>
          <w:tcPr>
            <w:tcW w:type="dxa" w:w="794"/>
          </w:tcPr>
          <w:p>
            <w:pPr>
              <w:keepNext w:val="0"/>
              <w:spacing w:after="20" w:before="20" w:line="240" w:lineRule="auto"/>
              <w:jc w:val="center"/>
            </w:pPr>
            <w:r/>
            <w:r>
              <w:rPr>
                <w:sz w:val="15"/>
              </w:rPr>
              <w:t>44.10</w:t>
            </w:r>
          </w:p>
        </w:tc>
        <w:tc>
          <w:tcPr>
            <w:tcW w:type="dxa" w:w="1077"/>
          </w:tcPr>
          <w:p>
            <w:pPr>
              <w:keepNext w:val="0"/>
              <w:spacing w:after="20" w:before="20" w:line="240" w:lineRule="auto"/>
              <w:jc w:val="center"/>
            </w:pPr>
            <w:r/>
            <w:r>
              <w:rPr>
                <w:sz w:val="15"/>
              </w:rPr>
              <w:t>39.5–48.7</w:t>
            </w:r>
          </w:p>
        </w:tc>
        <w:tc>
          <w:tcPr>
            <w:tcW w:type="dxa" w:w="964"/>
            <w:shd w:val="clear" w:color="auto" w:fill="BFE3C6"/>
          </w:tcPr>
          <w:p>
            <w:pPr>
              <w:keepNext w:val="0"/>
              <w:spacing w:after="20" w:before="20" w:line="240" w:lineRule="auto"/>
              <w:jc w:val="center"/>
            </w:pPr>
            <w:r/>
            <w:r>
              <w:rPr>
                <w:sz w:val="15"/>
              </w:rPr>
              <w:t>Verde</w:t>
            </w:r>
          </w:p>
        </w:tc>
        <w:tc>
          <w:tcPr>
            <w:tcW w:type="dxa" w:w="794"/>
          </w:tcPr>
          <w:p>
            <w:pPr>
              <w:keepNext w:val="0"/>
              <w:spacing w:after="20" w:before="20" w:line="240" w:lineRule="auto"/>
              <w:jc w:val="center"/>
            </w:pPr>
            <w:r/>
            <w:r>
              <w:rPr>
                <w:sz w:val="15"/>
              </w:rPr>
              <w:t>41.32</w:t>
            </w:r>
          </w:p>
        </w:tc>
        <w:tc>
          <w:tcPr>
            <w:tcW w:type="dxa" w:w="964"/>
            <w:shd w:val="clear" w:color="auto" w:fill="BFE3C6"/>
          </w:tcPr>
          <w:p>
            <w:pPr>
              <w:keepNext w:val="0"/>
              <w:spacing w:after="20" w:before="20" w:line="240" w:lineRule="auto"/>
              <w:jc w:val="center"/>
            </w:pPr>
            <w:r/>
            <w:r>
              <w:rPr>
                <w:sz w:val="15"/>
              </w:rPr>
              <w:t>Verde</w:t>
            </w:r>
          </w:p>
        </w:tc>
        <w:tc>
          <w:tcPr>
            <w:tcW w:type="dxa" w:w="794"/>
          </w:tcPr>
          <w:p>
            <w:pPr>
              <w:keepNext w:val="0"/>
              <w:spacing w:after="20" w:before="20" w:line="240" w:lineRule="auto"/>
              <w:jc w:val="center"/>
            </w:pPr>
            <w:r/>
            <w:r>
              <w:rPr>
                <w:sz w:val="15"/>
              </w:rPr>
              <w:t>44.10</w:t>
            </w:r>
          </w:p>
        </w:tc>
        <w:tc>
          <w:tcPr>
            <w:tcW w:type="dxa" w:w="737"/>
          </w:tcPr>
          <w:p>
            <w:pPr>
              <w:keepNext w:val="0"/>
              <w:spacing w:after="20" w:before="20" w:line="240" w:lineRule="auto"/>
              <w:jc w:val="center"/>
            </w:pPr>
            <w:r/>
            <w:r>
              <w:rPr>
                <w:sz w:val="15"/>
              </w:rPr>
              <w:t>39.4</w:t>
            </w:r>
          </w:p>
        </w:tc>
      </w:tr>
      <w:tr>
        <w:trPr>
          <w:cantSplit w:val="true"/>
        </w:trPr>
        <w:tc>
          <w:tcPr>
            <w:tcW w:type="dxa" w:w="2041"/>
            <w:shd w:val="clear" w:color="auto" w:fill="F2F5F8"/>
          </w:tcPr>
          <w:p>
            <w:pPr>
              <w:keepNext w:val="0"/>
              <w:spacing w:after="20" w:before="20" w:line="240" w:lineRule="auto"/>
              <w:jc w:val="left"/>
            </w:pPr>
            <w:r/>
            <w:r>
              <w:rPr>
                <w:sz w:val="15"/>
              </w:rPr>
              <w:t>Coahuila</w:t>
            </w:r>
          </w:p>
        </w:tc>
        <w:tc>
          <w:tcPr>
            <w:tcW w:type="dxa" w:w="737"/>
            <w:shd w:val="clear" w:color="auto" w:fill="F2F5F8"/>
          </w:tcPr>
          <w:p>
            <w:pPr>
              <w:keepNext w:val="0"/>
              <w:spacing w:after="20" w:before="20" w:line="240" w:lineRule="auto"/>
              <w:jc w:val="center"/>
            </w:pPr>
            <w:r/>
            <w:r>
              <w:rPr>
                <w:sz w:val="15"/>
              </w:rPr>
              <w:t>No</w:t>
            </w:r>
          </w:p>
        </w:tc>
        <w:tc>
          <w:tcPr>
            <w:tcW w:type="dxa" w:w="794"/>
            <w:shd w:val="clear" w:color="auto" w:fill="F2F5F8"/>
          </w:tcPr>
          <w:p>
            <w:pPr>
              <w:keepNext w:val="0"/>
              <w:spacing w:after="20" w:before="20" w:line="240" w:lineRule="auto"/>
              <w:jc w:val="center"/>
            </w:pPr>
            <w:r/>
            <w:r>
              <w:rPr>
                <w:sz w:val="15"/>
              </w:rPr>
              <w:t>35.4</w:t>
            </w:r>
          </w:p>
        </w:tc>
        <w:tc>
          <w:tcPr>
            <w:tcW w:type="dxa" w:w="794"/>
            <w:shd w:val="clear" w:color="auto" w:fill="F2F5F8"/>
          </w:tcPr>
          <w:p>
            <w:pPr>
              <w:keepNext w:val="0"/>
              <w:spacing w:after="20" w:before="20" w:line="240" w:lineRule="auto"/>
              <w:jc w:val="center"/>
            </w:pPr>
            <w:r/>
            <w:r>
              <w:rPr>
                <w:sz w:val="15"/>
              </w:rPr>
              <w:t>44.01</w:t>
            </w:r>
          </w:p>
        </w:tc>
        <w:tc>
          <w:tcPr>
            <w:tcW w:type="dxa" w:w="1077"/>
            <w:shd w:val="clear" w:color="auto" w:fill="F2F5F8"/>
          </w:tcPr>
          <w:p>
            <w:pPr>
              <w:keepNext w:val="0"/>
              <w:spacing w:after="20" w:before="20" w:line="240" w:lineRule="auto"/>
              <w:jc w:val="center"/>
            </w:pPr>
            <w:r/>
            <w:r>
              <w:rPr>
                <w:sz w:val="15"/>
              </w:rPr>
              <w:t>39.4–48.6</w:t>
            </w:r>
          </w:p>
        </w:tc>
        <w:tc>
          <w:tcPr>
            <w:tcW w:type="dxa" w:w="964"/>
            <w:shd w:val="clear" w:color="auto" w:fill="BFE3C6"/>
          </w:tcPr>
          <w:p>
            <w:pPr>
              <w:keepNext w:val="0"/>
              <w:spacing w:after="20" w:before="20" w:line="240" w:lineRule="auto"/>
              <w:jc w:val="center"/>
            </w:pPr>
            <w:r/>
            <w:r>
              <w:rPr>
                <w:sz w:val="15"/>
              </w:rPr>
              <w:t>Verde</w:t>
            </w:r>
          </w:p>
        </w:tc>
        <w:tc>
          <w:tcPr>
            <w:tcW w:type="dxa" w:w="794"/>
            <w:shd w:val="clear" w:color="auto" w:fill="F2F5F8"/>
          </w:tcPr>
          <w:p>
            <w:pPr>
              <w:keepNext w:val="0"/>
              <w:spacing w:after="20" w:before="20" w:line="240" w:lineRule="auto"/>
              <w:jc w:val="center"/>
            </w:pPr>
            <w:r/>
            <w:r>
              <w:rPr>
                <w:sz w:val="15"/>
              </w:rPr>
              <w:t>41.55</w:t>
            </w:r>
          </w:p>
        </w:tc>
        <w:tc>
          <w:tcPr>
            <w:tcW w:type="dxa" w:w="964"/>
            <w:shd w:val="clear" w:color="auto" w:fill="BFE3C6"/>
          </w:tcPr>
          <w:p>
            <w:pPr>
              <w:keepNext w:val="0"/>
              <w:spacing w:after="20" w:before="20" w:line="240" w:lineRule="auto"/>
              <w:jc w:val="center"/>
            </w:pPr>
            <w:r/>
            <w:r>
              <w:rPr>
                <w:sz w:val="15"/>
              </w:rPr>
              <w:t>Verde</w:t>
            </w:r>
          </w:p>
        </w:tc>
        <w:tc>
          <w:tcPr>
            <w:tcW w:type="dxa" w:w="794"/>
            <w:shd w:val="clear" w:color="auto" w:fill="F2F5F8"/>
          </w:tcPr>
          <w:p>
            <w:pPr>
              <w:keepNext w:val="0"/>
              <w:spacing w:after="20" w:before="20" w:line="240" w:lineRule="auto"/>
              <w:jc w:val="center"/>
            </w:pPr>
            <w:r/>
            <w:r>
              <w:rPr>
                <w:sz w:val="15"/>
              </w:rPr>
              <w:t>44.01</w:t>
            </w:r>
          </w:p>
        </w:tc>
        <w:tc>
          <w:tcPr>
            <w:tcW w:type="dxa" w:w="737"/>
            <w:shd w:val="clear" w:color="auto" w:fill="F2F5F8"/>
          </w:tcPr>
          <w:p>
            <w:pPr>
              <w:keepNext w:val="0"/>
              <w:spacing w:after="20" w:before="20" w:line="240" w:lineRule="auto"/>
              <w:jc w:val="center"/>
            </w:pPr>
            <w:r/>
            <w:r>
              <w:rPr>
                <w:sz w:val="15"/>
              </w:rPr>
              <w:t>34.6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keepNext w:val="0"/>
              <w:spacing w:after="20" w:before="20" w:line="240" w:lineRule="auto"/>
              <w:jc w:val="left"/>
            </w:pPr>
            <w:r/>
            <w:r>
              <w:rPr>
                <w:sz w:val="15"/>
              </w:rPr>
              <w:t>San Luis Potosí</w:t>
            </w:r>
          </w:p>
        </w:tc>
        <w:tc>
          <w:tcPr>
            <w:tcW w:type="dxa" w:w="737"/>
          </w:tcPr>
          <w:p>
            <w:pPr>
              <w:keepNext w:val="0"/>
              <w:spacing w:after="20" w:before="20" w:line="240" w:lineRule="auto"/>
              <w:jc w:val="center"/>
            </w:pPr>
            <w:r/>
            <w:r>
              <w:rPr>
                <w:sz w:val="15"/>
              </w:rPr>
              <w:t>Sí</w:t>
            </w:r>
          </w:p>
        </w:tc>
        <w:tc>
          <w:tcPr>
            <w:tcW w:type="dxa" w:w="794"/>
          </w:tcPr>
          <w:p>
            <w:pPr>
              <w:keepNext w:val="0"/>
              <w:spacing w:after="20" w:before="20" w:line="240" w:lineRule="auto"/>
              <w:jc w:val="center"/>
            </w:pPr>
            <w:r/>
            <w:r>
              <w:rPr>
                <w:sz w:val="15"/>
              </w:rPr>
              <w:t>38.8</w:t>
            </w:r>
          </w:p>
        </w:tc>
        <w:tc>
          <w:tcPr>
            <w:tcW w:type="dxa" w:w="794"/>
          </w:tcPr>
          <w:p>
            <w:pPr>
              <w:keepNext w:val="0"/>
              <w:spacing w:after="20" w:before="20" w:line="240" w:lineRule="auto"/>
              <w:jc w:val="center"/>
            </w:pPr>
            <w:r/>
            <w:r>
              <w:rPr>
                <w:sz w:val="15"/>
              </w:rPr>
              <w:t>43.34</w:t>
            </w:r>
          </w:p>
        </w:tc>
        <w:tc>
          <w:tcPr>
            <w:tcW w:type="dxa" w:w="1077"/>
          </w:tcPr>
          <w:p>
            <w:pPr>
              <w:keepNext w:val="0"/>
              <w:spacing w:after="20" w:before="20" w:line="240" w:lineRule="auto"/>
              <w:jc w:val="center"/>
            </w:pPr>
            <w:r/>
            <w:r>
              <w:rPr>
                <w:sz w:val="15"/>
              </w:rPr>
              <w:t>38.7–48.0</w:t>
            </w:r>
          </w:p>
        </w:tc>
        <w:tc>
          <w:tcPr>
            <w:tcW w:type="dxa" w:w="964"/>
            <w:shd w:val="clear" w:color="auto" w:fill="BFE3C6"/>
          </w:tcPr>
          <w:p>
            <w:pPr>
              <w:keepNext w:val="0"/>
              <w:spacing w:after="20" w:before="20" w:line="240" w:lineRule="auto"/>
              <w:jc w:val="center"/>
            </w:pPr>
            <w:r/>
            <w:r>
              <w:rPr>
                <w:sz w:val="15"/>
              </w:rPr>
              <w:t>Verde</w:t>
            </w:r>
          </w:p>
        </w:tc>
        <w:tc>
          <w:tcPr>
            <w:tcW w:type="dxa" w:w="794"/>
          </w:tcPr>
          <w:p>
            <w:pPr>
              <w:keepNext w:val="0"/>
              <w:spacing w:after="20" w:before="20" w:line="240" w:lineRule="auto"/>
              <w:jc w:val="center"/>
            </w:pPr>
            <w:r/>
            <w:r>
              <w:rPr>
                <w:sz w:val="15"/>
              </w:rPr>
              <w:t>39.99</w:t>
            </w:r>
          </w:p>
        </w:tc>
        <w:tc>
          <w:tcPr>
            <w:tcW w:type="dxa" w:w="964"/>
            <w:shd w:val="clear" w:color="auto" w:fill="BFE3C6"/>
          </w:tcPr>
          <w:p>
            <w:pPr>
              <w:keepNext w:val="0"/>
              <w:spacing w:after="20" w:before="20" w:line="240" w:lineRule="auto"/>
              <w:jc w:val="center"/>
            </w:pPr>
            <w:r/>
            <w:r>
              <w:rPr>
                <w:sz w:val="15"/>
              </w:rPr>
              <w:t>Verde</w:t>
            </w:r>
          </w:p>
        </w:tc>
        <w:tc>
          <w:tcPr>
            <w:tcW w:type="dxa" w:w="794"/>
          </w:tcPr>
          <w:p>
            <w:pPr>
              <w:keepNext w:val="0"/>
              <w:spacing w:after="20" w:before="20" w:line="240" w:lineRule="auto"/>
              <w:jc w:val="center"/>
            </w:pPr>
            <w:r/>
            <w:r>
              <w:rPr>
                <w:sz w:val="15"/>
              </w:rPr>
              <w:t>43.34</w:t>
            </w:r>
          </w:p>
        </w:tc>
        <w:tc>
          <w:tcPr>
            <w:tcW w:type="dxa" w:w="737"/>
          </w:tcPr>
          <w:p>
            <w:pPr>
              <w:keepNext w:val="0"/>
              <w:spacing w:after="20" w:before="20" w:line="240" w:lineRule="auto"/>
              <w:jc w:val="center"/>
            </w:pPr>
            <w:r/>
            <w:r>
              <w:rPr>
                <w:sz w:val="15"/>
              </w:rPr>
              <w:t>37.7</w:t>
            </w:r>
          </w:p>
        </w:tc>
      </w:tr>
      <w:tr>
        <w:trPr>
          <w:cantSplit w:val="true"/>
        </w:trPr>
        <w:tc>
          <w:tcPr>
            <w:tcW w:type="dxa" w:w="2041"/>
            <w:shd w:val="clear" w:color="auto" w:fill="F2F5F8"/>
          </w:tcPr>
          <w:p>
            <w:pPr>
              <w:keepNext w:val="0"/>
              <w:spacing w:after="20" w:before="20" w:line="240" w:lineRule="auto"/>
              <w:jc w:val="left"/>
            </w:pPr>
            <w:r/>
            <w:r>
              <w:rPr>
                <w:sz w:val="15"/>
              </w:rPr>
              <w:t>Campeche</w:t>
            </w:r>
          </w:p>
        </w:tc>
        <w:tc>
          <w:tcPr>
            <w:tcW w:type="dxa" w:w="737"/>
            <w:shd w:val="clear" w:color="auto" w:fill="F2F5F8"/>
          </w:tcPr>
          <w:p>
            <w:pPr>
              <w:keepNext w:val="0"/>
              <w:spacing w:after="20" w:before="20" w:line="240" w:lineRule="auto"/>
              <w:jc w:val="center"/>
            </w:pPr>
            <w:r/>
            <w:r>
              <w:rPr>
                <w:sz w:val="15"/>
              </w:rPr>
              <w:t>Sí</w:t>
            </w:r>
          </w:p>
        </w:tc>
        <w:tc>
          <w:tcPr>
            <w:tcW w:type="dxa" w:w="794"/>
            <w:shd w:val="clear" w:color="auto" w:fill="F2F5F8"/>
          </w:tcPr>
          <w:p>
            <w:pPr>
              <w:keepNext w:val="0"/>
              <w:spacing w:after="20" w:before="20" w:line="240" w:lineRule="auto"/>
              <w:jc w:val="center"/>
            </w:pPr>
            <w:r/>
            <w:r>
              <w:rPr>
                <w:sz w:val="15"/>
              </w:rPr>
              <w:t>37.1</w:t>
            </w:r>
          </w:p>
        </w:tc>
        <w:tc>
          <w:tcPr>
            <w:tcW w:type="dxa" w:w="794"/>
            <w:shd w:val="clear" w:color="auto" w:fill="F2F5F8"/>
          </w:tcPr>
          <w:p>
            <w:pPr>
              <w:keepNext w:val="0"/>
              <w:spacing w:after="20" w:before="20" w:line="240" w:lineRule="auto"/>
              <w:jc w:val="center"/>
            </w:pPr>
            <w:r/>
            <w:r>
              <w:rPr>
                <w:sz w:val="15"/>
              </w:rPr>
              <w:t>40.44</w:t>
            </w:r>
          </w:p>
        </w:tc>
        <w:tc>
          <w:tcPr>
            <w:tcW w:type="dxa" w:w="1077"/>
            <w:shd w:val="clear" w:color="auto" w:fill="F2F5F8"/>
          </w:tcPr>
          <w:p>
            <w:pPr>
              <w:keepNext w:val="0"/>
              <w:spacing w:after="20" w:before="20" w:line="240" w:lineRule="auto"/>
              <w:jc w:val="center"/>
            </w:pPr>
            <w:r/>
            <w:r>
              <w:rPr>
                <w:sz w:val="15"/>
              </w:rPr>
              <w:t>35.8–45.1</w:t>
            </w:r>
          </w:p>
        </w:tc>
        <w:tc>
          <w:tcPr>
            <w:tcW w:type="dxa" w:w="964"/>
            <w:shd w:val="clear" w:color="auto" w:fill="BFE3C6"/>
          </w:tcPr>
          <w:p>
            <w:pPr>
              <w:keepNext w:val="0"/>
              <w:spacing w:after="20" w:before="20" w:line="240" w:lineRule="auto"/>
              <w:jc w:val="center"/>
            </w:pPr>
            <w:r/>
            <w:r>
              <w:rPr>
                <w:sz w:val="15"/>
              </w:rPr>
              <w:t>Verde</w:t>
            </w:r>
          </w:p>
        </w:tc>
        <w:tc>
          <w:tcPr>
            <w:tcW w:type="dxa" w:w="794"/>
            <w:shd w:val="clear" w:color="auto" w:fill="F2F5F8"/>
          </w:tcPr>
          <w:p>
            <w:pPr>
              <w:keepNext w:val="0"/>
              <w:spacing w:after="20" w:before="20" w:line="240" w:lineRule="auto"/>
              <w:jc w:val="center"/>
            </w:pPr>
            <w:r/>
            <w:r>
              <w:rPr>
                <w:sz w:val="15"/>
              </w:rPr>
              <w:t>37.69</w:t>
            </w:r>
          </w:p>
        </w:tc>
        <w:tc>
          <w:tcPr>
            <w:tcW w:type="dxa" w:w="964"/>
            <w:shd w:val="clear" w:color="auto" w:fill="BFE3C6"/>
          </w:tcPr>
          <w:p>
            <w:pPr>
              <w:keepNext w:val="0"/>
              <w:spacing w:after="20" w:before="20" w:line="240" w:lineRule="auto"/>
              <w:jc w:val="center"/>
            </w:pPr>
            <w:r/>
            <w:r>
              <w:rPr>
                <w:sz w:val="15"/>
              </w:rPr>
              <w:t>Verde</w:t>
            </w:r>
          </w:p>
        </w:tc>
        <w:tc>
          <w:tcPr>
            <w:tcW w:type="dxa" w:w="794"/>
            <w:shd w:val="clear" w:color="auto" w:fill="F2F5F8"/>
          </w:tcPr>
          <w:p>
            <w:pPr>
              <w:keepNext w:val="0"/>
              <w:spacing w:after="20" w:before="20" w:line="240" w:lineRule="auto"/>
              <w:jc w:val="center"/>
            </w:pPr>
            <w:r/>
            <w:r>
              <w:rPr>
                <w:sz w:val="15"/>
              </w:rPr>
              <w:t>40.44</w:t>
            </w:r>
          </w:p>
        </w:tc>
        <w:tc>
          <w:tcPr>
            <w:tcW w:type="dxa" w:w="737"/>
            <w:shd w:val="clear" w:color="auto" w:fill="F2F5F8"/>
          </w:tcPr>
          <w:p>
            <w:pPr>
              <w:keepNext w:val="0"/>
              <w:spacing w:after="20" w:before="20" w:line="240" w:lineRule="auto"/>
              <w:jc w:val="center"/>
            </w:pPr>
            <w:r/>
            <w:r>
              <w:rPr>
                <w:sz w:val="15"/>
              </w:rPr>
              <w:t>35.4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keepNext w:val="0"/>
              <w:spacing w:after="20" w:before="20" w:line="240" w:lineRule="auto"/>
              <w:jc w:val="left"/>
            </w:pPr>
            <w:r/>
            <w:r>
              <w:rPr>
                <w:sz w:val="15"/>
              </w:rPr>
              <w:t>Yucatán</w:t>
            </w:r>
          </w:p>
        </w:tc>
        <w:tc>
          <w:tcPr>
            <w:tcW w:type="dxa" w:w="737"/>
          </w:tcPr>
          <w:p>
            <w:pPr>
              <w:keepNext w:val="0"/>
              <w:spacing w:after="20" w:before="20" w:line="240" w:lineRule="auto"/>
              <w:jc w:val="center"/>
            </w:pPr>
            <w:r/>
            <w:r>
              <w:rPr>
                <w:sz w:val="15"/>
              </w:rPr>
              <w:t>No</w:t>
            </w:r>
          </w:p>
        </w:tc>
        <w:tc>
          <w:tcPr>
            <w:tcW w:type="dxa" w:w="794"/>
          </w:tcPr>
          <w:p>
            <w:pPr>
              <w:keepNext w:val="0"/>
              <w:spacing w:after="20" w:before="20" w:line="240" w:lineRule="auto"/>
              <w:jc w:val="center"/>
            </w:pPr>
            <w:r/>
            <w:r>
              <w:rPr>
                <w:sz w:val="15"/>
              </w:rPr>
              <w:t>28.6</w:t>
            </w:r>
          </w:p>
        </w:tc>
        <w:tc>
          <w:tcPr>
            <w:tcW w:type="dxa" w:w="794"/>
          </w:tcPr>
          <w:p>
            <w:pPr>
              <w:keepNext w:val="0"/>
              <w:spacing w:after="20" w:before="20" w:line="240" w:lineRule="auto"/>
              <w:jc w:val="center"/>
            </w:pPr>
            <w:r/>
            <w:r>
              <w:rPr>
                <w:sz w:val="15"/>
              </w:rPr>
              <w:t>39.46</w:t>
            </w:r>
          </w:p>
        </w:tc>
        <w:tc>
          <w:tcPr>
            <w:tcW w:type="dxa" w:w="1077"/>
          </w:tcPr>
          <w:p>
            <w:pPr>
              <w:keepNext w:val="0"/>
              <w:spacing w:after="20" w:before="20" w:line="240" w:lineRule="auto"/>
              <w:jc w:val="center"/>
            </w:pPr>
            <w:r/>
            <w:r>
              <w:rPr>
                <w:sz w:val="15"/>
              </w:rPr>
              <w:t>34.8–44.1</w:t>
            </w:r>
          </w:p>
        </w:tc>
        <w:tc>
          <w:tcPr>
            <w:tcW w:type="dxa" w:w="964"/>
            <w:shd w:val="clear" w:color="auto" w:fill="BFE3C6"/>
          </w:tcPr>
          <w:p>
            <w:pPr>
              <w:keepNext w:val="0"/>
              <w:spacing w:after="20" w:before="20" w:line="240" w:lineRule="auto"/>
              <w:jc w:val="center"/>
            </w:pPr>
            <w:r/>
            <w:r>
              <w:rPr>
                <w:sz w:val="15"/>
              </w:rPr>
              <w:t>Verde</w:t>
            </w:r>
          </w:p>
        </w:tc>
        <w:tc>
          <w:tcPr>
            <w:tcW w:type="dxa" w:w="794"/>
          </w:tcPr>
          <w:p>
            <w:pPr>
              <w:keepNext w:val="0"/>
              <w:spacing w:after="20" w:before="20" w:line="240" w:lineRule="auto"/>
              <w:jc w:val="center"/>
            </w:pPr>
            <w:r/>
            <w:r>
              <w:rPr>
                <w:sz w:val="15"/>
              </w:rPr>
              <w:t>37.46</w:t>
            </w:r>
          </w:p>
        </w:tc>
        <w:tc>
          <w:tcPr>
            <w:tcW w:type="dxa" w:w="964"/>
            <w:shd w:val="clear" w:color="auto" w:fill="BFE3C6"/>
          </w:tcPr>
          <w:p>
            <w:pPr>
              <w:keepNext w:val="0"/>
              <w:spacing w:after="20" w:before="20" w:line="240" w:lineRule="auto"/>
              <w:jc w:val="center"/>
            </w:pPr>
            <w:r/>
            <w:r>
              <w:rPr>
                <w:sz w:val="15"/>
              </w:rPr>
              <w:t>Verde</w:t>
            </w:r>
          </w:p>
        </w:tc>
        <w:tc>
          <w:tcPr>
            <w:tcW w:type="dxa" w:w="794"/>
          </w:tcPr>
          <w:p>
            <w:pPr>
              <w:keepNext w:val="0"/>
              <w:spacing w:after="20" w:before="20" w:line="240" w:lineRule="auto"/>
              <w:jc w:val="center"/>
            </w:pPr>
            <w:r/>
            <w:r>
              <w:rPr>
                <w:sz w:val="15"/>
              </w:rPr>
              <w:t>39.46</w:t>
            </w:r>
          </w:p>
        </w:tc>
        <w:tc>
          <w:tcPr>
            <w:tcW w:type="dxa" w:w="737"/>
          </w:tcPr>
          <w:p>
            <w:pPr>
              <w:keepNext w:val="0"/>
              <w:spacing w:after="20" w:before="20" w:line="240" w:lineRule="auto"/>
              <w:jc w:val="center"/>
            </w:pPr>
            <w:r/>
            <w:r>
              <w:rPr>
                <w:sz w:val="15"/>
              </w:rPr>
              <w:t>27.2</w:t>
            </w:r>
          </w:p>
        </w:tc>
      </w:tr>
      <w:tr>
        <w:trPr>
          <w:cantSplit w:val="true"/>
        </w:trPr>
        <w:tc>
          <w:tcPr>
            <w:tcW w:type="dxa" w:w="2041"/>
            <w:shd w:val="clear" w:color="auto" w:fill="F2F5F8"/>
          </w:tcPr>
          <w:p>
            <w:pPr>
              <w:keepNext w:val="0"/>
              <w:spacing w:after="20" w:before="20" w:line="240" w:lineRule="auto"/>
              <w:jc w:val="left"/>
            </w:pPr>
            <w:r/>
            <w:r>
              <w:rPr>
                <w:sz w:val="15"/>
              </w:rPr>
              <w:t>Tlaxcala</w:t>
            </w:r>
          </w:p>
        </w:tc>
        <w:tc>
          <w:tcPr>
            <w:tcW w:type="dxa" w:w="737"/>
            <w:shd w:val="clear" w:color="auto" w:fill="F2F5F8"/>
          </w:tcPr>
          <w:p>
            <w:pPr>
              <w:keepNext w:val="0"/>
              <w:spacing w:after="20" w:before="20" w:line="240" w:lineRule="auto"/>
              <w:jc w:val="center"/>
            </w:pPr>
            <w:r/>
            <w:r>
              <w:rPr>
                <w:sz w:val="15"/>
              </w:rPr>
              <w:t>Sí</w:t>
            </w:r>
          </w:p>
        </w:tc>
        <w:tc>
          <w:tcPr>
            <w:tcW w:type="dxa" w:w="794"/>
            <w:shd w:val="clear" w:color="auto" w:fill="F2F5F8"/>
          </w:tcPr>
          <w:p>
            <w:pPr>
              <w:keepNext w:val="0"/>
              <w:spacing w:after="20" w:before="20" w:line="240" w:lineRule="auto"/>
              <w:jc w:val="center"/>
            </w:pPr>
            <w:r/>
            <w:r>
              <w:rPr>
                <w:sz w:val="15"/>
              </w:rPr>
              <w:t>29.9</w:t>
            </w:r>
          </w:p>
        </w:tc>
        <w:tc>
          <w:tcPr>
            <w:tcW w:type="dxa" w:w="794"/>
            <w:shd w:val="clear" w:color="auto" w:fill="F2F5F8"/>
          </w:tcPr>
          <w:p>
            <w:pPr>
              <w:keepNext w:val="0"/>
              <w:spacing w:after="20" w:before="20" w:line="240" w:lineRule="auto"/>
              <w:jc w:val="center"/>
            </w:pPr>
            <w:r/>
            <w:r>
              <w:rPr>
                <w:sz w:val="15"/>
              </w:rPr>
              <w:t>35.08</w:t>
            </w:r>
          </w:p>
        </w:tc>
        <w:tc>
          <w:tcPr>
            <w:tcW w:type="dxa" w:w="1077"/>
            <w:shd w:val="clear" w:color="auto" w:fill="F2F5F8"/>
          </w:tcPr>
          <w:p>
            <w:pPr>
              <w:keepNext w:val="0"/>
              <w:spacing w:after="20" w:before="20" w:line="240" w:lineRule="auto"/>
              <w:jc w:val="center"/>
            </w:pPr>
            <w:r/>
            <w:r>
              <w:rPr>
                <w:sz w:val="15"/>
              </w:rPr>
              <w:t>30.5–39.7</w:t>
            </w:r>
          </w:p>
        </w:tc>
        <w:tc>
          <w:tcPr>
            <w:tcW w:type="dxa" w:w="964"/>
            <w:shd w:val="clear" w:color="auto" w:fill="BFE3C6"/>
          </w:tcPr>
          <w:p>
            <w:pPr>
              <w:keepNext w:val="0"/>
              <w:spacing w:after="20" w:before="20" w:line="240" w:lineRule="auto"/>
              <w:jc w:val="center"/>
            </w:pPr>
            <w:r/>
            <w:r>
              <w:rPr>
                <w:sz w:val="15"/>
              </w:rPr>
              <w:t>Verde</w:t>
            </w:r>
          </w:p>
        </w:tc>
        <w:tc>
          <w:tcPr>
            <w:tcW w:type="dxa" w:w="794"/>
            <w:shd w:val="clear" w:color="auto" w:fill="F2F5F8"/>
          </w:tcPr>
          <w:p>
            <w:pPr>
              <w:keepNext w:val="0"/>
              <w:spacing w:after="20" w:before="20" w:line="240" w:lineRule="auto"/>
              <w:jc w:val="center"/>
            </w:pPr>
            <w:r/>
            <w:r>
              <w:rPr>
                <w:sz w:val="15"/>
              </w:rPr>
              <w:t>33.11</w:t>
            </w:r>
          </w:p>
        </w:tc>
        <w:tc>
          <w:tcPr>
            <w:tcW w:type="dxa" w:w="964"/>
            <w:shd w:val="clear" w:color="auto" w:fill="BFE3C6"/>
          </w:tcPr>
          <w:p>
            <w:pPr>
              <w:keepNext w:val="0"/>
              <w:spacing w:after="20" w:before="20" w:line="240" w:lineRule="auto"/>
              <w:jc w:val="center"/>
            </w:pPr>
            <w:r/>
            <w:r>
              <w:rPr>
                <w:sz w:val="15"/>
              </w:rPr>
              <w:t>Verde</w:t>
            </w:r>
          </w:p>
        </w:tc>
        <w:tc>
          <w:tcPr>
            <w:tcW w:type="dxa" w:w="794"/>
            <w:shd w:val="clear" w:color="auto" w:fill="F2F5F8"/>
          </w:tcPr>
          <w:p>
            <w:pPr>
              <w:keepNext w:val="0"/>
              <w:spacing w:after="20" w:before="20" w:line="240" w:lineRule="auto"/>
              <w:jc w:val="center"/>
            </w:pPr>
            <w:r/>
            <w:r>
              <w:rPr>
                <w:sz w:val="15"/>
              </w:rPr>
              <w:t>35.08</w:t>
            </w:r>
          </w:p>
        </w:tc>
        <w:tc>
          <w:tcPr>
            <w:tcW w:type="dxa" w:w="737"/>
            <w:shd w:val="clear" w:color="auto" w:fill="F2F5F8"/>
          </w:tcPr>
          <w:p>
            <w:pPr>
              <w:keepNext w:val="0"/>
              <w:spacing w:after="20" w:before="20" w:line="240" w:lineRule="auto"/>
              <w:jc w:val="center"/>
            </w:pPr>
            <w:r/>
            <w:r>
              <w:rPr>
                <w:sz w:val="15"/>
              </w:rPr>
              <w:t>29.2</w:t>
            </w:r>
          </w:p>
        </w:tc>
      </w:tr>
    </w:tbl>
    <w:p>
      <w:pPr>
        <w:spacing w:after="160" w:line="264" w:lineRule="auto"/>
        <w:jc w:val="left"/>
      </w:pPr>
      <w:r>
        <w:rPr>
          <w:b w:val="0"/>
          <w:color w:val="7D8894"/>
          <w:sz w:val="17"/>
        </w:rPr>
        <w:t>Banda = proyección ± error medio de validación. 2A: intervención en las 32 entidades. 2B: intervención solo en las 8 en rojo.</w:t>
      </w:r>
    </w:p>
    <w:p>
      <w:pPr>
        <w:spacing w:after="100"/>
        <w:jc w:val="both"/>
      </w:pPr>
      <w:r>
        <w:rPr>
          <w:b/>
        </w:rPr>
        <w:t>Lectura de las zonas críticas.</w:t>
      </w:r>
      <w:r>
        <w:rPr>
          <w:b w:val="0"/>
        </w:rPr>
        <w:t xml:space="preserve"> Baja California encabeza el riesgo aun eligiendo gubernatura: registró la abstención más alta del país en las tres intermedias observadas (2009, 2015 y 2021). Guanajuato, Durango y Jalisco nunca han tenido elección de gubernatura concurrente con una intermedia y tampoco la tendrán en 2027; Guanajuato y Jalisco, además, sí la tuvieron en 2024, por lo que pierden ese impulso. Las tres están entre las ocho entidades con mayor abstención juvenil proyectada (lugares 3, 4 y 8). La Figura 5 (al final de esta sección) muestra que la banda de incertidumbre completa de Baja California, Guanajuato, Durango y Sonora queda por encima del umbral rojo: su clasificación se sostiene aun restando el error medio del modelo.</w:t>
      </w:r>
    </w:p>
    <w:p>
      <w:pPr>
        <w:pStyle w:val="Heading2"/>
      </w:pPr>
      <w:r>
        <w:t>4.3 Sensibilidad</w:t>
      </w:r>
    </w:p>
    <w:p>
      <w:pPr>
        <w:keepNext/>
        <w:spacing w:after="40" w:line="264" w:lineRule="auto"/>
        <w:jc w:val="left"/>
      </w:pPr>
      <w:r>
        <w:rPr>
          <w:b/>
          <w:sz w:val="19"/>
        </w:rPr>
        <w:t>Tabla 10.</w:t>
      </w:r>
      <w:r>
        <w:rPr>
          <w:b w:val="0"/>
          <w:sz w:val="19"/>
        </w:rPr>
        <w:t xml:space="preserve"> Sensibilidad del Escenario 2A a la eficacia supuesta de la intervención</w:t>
      </w:r>
    </w:p>
    <w:tbl>
      <w:tblPr>
        <w:tblW w:type="dxa" w:w="8958"/>
        <w:jc w:val="center"/>
        <w:tblLayout w:type="fixed"/>
        <w:tblLook w:firstColumn="1" w:firstRow="1" w:lastColumn="0" w:lastRow="0" w:noHBand="0" w:noVBand="1" w:val="04A0"/>
        <w:tblBorders>
          <w:top w:val="single" w:sz="4" w:color="D5DCE3"/>
          <w:bottom w:val="single" w:sz="4" w:color="D5DCE3"/>
          <w:insideH w:val="single" w:sz="4" w:color="D5DCE3"/>
          <w:left w:val="nil"/>
          <w:right w:val="nil"/>
          <w:insideV w:val="nil"/>
        </w:tblBorders>
        <w:tblLayout w:type="fixed"/>
      </w:tblPr>
      <w:tblGrid>
        <w:gridCol w:w="2041"/>
        <w:gridCol w:w="1474"/>
        <w:gridCol w:w="737"/>
        <w:gridCol w:w="907"/>
        <w:gridCol w:w="793"/>
        <w:gridCol w:w="1304"/>
        <w:gridCol w:w="1701"/>
      </w:tblGrid>
      <w:tr>
        <w:trPr>
          <w:cantSplit w:val="true"/>
          <w:tblHeader w:val="true"/>
        </w:trPr>
        <w:tc>
          <w:tcPr>
            <w:tcW w:type="dxa" w:w="2041"/>
            <w:shd w:val="clear" w:color="auto" w:fill="23395B"/>
          </w:tcPr>
          <w:p>
            <w:pPr>
              <w:keepNext/>
              <w:spacing w:after="20" w:before="20" w:line="240" w:lineRule="auto"/>
              <w:jc w:val="left"/>
            </w:pPr>
            <w:r/>
            <w:r>
              <w:rPr>
                <w:b/>
                <w:color w:val="FFFFFF"/>
                <w:sz w:val="17"/>
              </w:rPr>
              <w:t>Reducción en segmento</w:t>
            </w:r>
          </w:p>
        </w:tc>
        <w:tc>
          <w:tcPr>
            <w:tcW w:type="dxa" w:w="1474"/>
            <w:shd w:val="clear" w:color="auto" w:fill="23395B"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b/>
                <w:color w:val="FFFFFF"/>
                <w:sz w:val="17"/>
              </w:rPr>
              <w:t>Abstención nacional</w:t>
            </w:r>
          </w:p>
        </w:tc>
        <w:tc>
          <w:tcPr>
            <w:tcW w:type="dxa" w:w="737"/>
            <w:shd w:val="clear" w:color="auto" w:fill="23395B"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b/>
                <w:color w:val="FFFFFF"/>
                <w:sz w:val="17"/>
              </w:rPr>
              <w:t>Rojo</w:t>
            </w:r>
          </w:p>
        </w:tc>
        <w:tc>
          <w:tcPr>
            <w:tcW w:type="dxa" w:w="907"/>
            <w:shd w:val="clear" w:color="auto" w:fill="23395B"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b/>
                <w:color w:val="FFFFFF"/>
                <w:sz w:val="17"/>
              </w:rPr>
              <w:t>Amarillo</w:t>
            </w:r>
          </w:p>
        </w:tc>
        <w:tc>
          <w:tcPr>
            <w:tcW w:type="dxa" w:w="794"/>
            <w:shd w:val="clear" w:color="auto" w:fill="23395B"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b/>
                <w:color w:val="FFFFFF"/>
                <w:sz w:val="17"/>
              </w:rPr>
              <w:t>Verde</w:t>
            </w:r>
          </w:p>
        </w:tc>
        <w:tc>
          <w:tcPr>
            <w:tcW w:type="dxa" w:w="1304"/>
            <w:shd w:val="clear" w:color="auto" w:fill="23395B"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b/>
                <w:color w:val="FFFFFF"/>
                <w:sz w:val="17"/>
              </w:rPr>
              <w:t>Cambian de color</w:t>
            </w:r>
          </w:p>
        </w:tc>
        <w:tc>
          <w:tcPr>
            <w:tcW w:type="dxa" w:w="1701"/>
            <w:shd w:val="clear" w:color="auto" w:fill="23395B"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b/>
                <w:color w:val="FFFFFF"/>
                <w:sz w:val="17"/>
              </w:rPr>
              <w:t>Personas recuperadas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keepNext/>
              <w:spacing w:after="20" w:before="20" w:line="240" w:lineRule="auto"/>
              <w:jc w:val="left"/>
            </w:pPr>
            <w:r/>
            <w:r>
              <w:rPr>
                <w:sz w:val="17"/>
              </w:rPr>
              <w:t>0% (sin intervención)</w:t>
            </w:r>
          </w:p>
        </w:tc>
        <w:tc>
          <w:tcPr>
            <w:tcW w:type="dxa" w:w="1474"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sz w:val="17"/>
              </w:rPr>
              <w:t>49.10%</w:t>
            </w:r>
          </w:p>
        </w:tc>
        <w:tc>
          <w:tcPr>
            <w:tcW w:type="dxa" w:w="737"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sz w:val="17"/>
              </w:rPr>
              <w:t>8</w:t>
            </w:r>
          </w:p>
        </w:tc>
        <w:tc>
          <w:tcPr>
            <w:tcW w:type="dxa" w:w="907"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sz w:val="17"/>
              </w:rPr>
              <w:t>16</w:t>
            </w:r>
          </w:p>
        </w:tc>
        <w:tc>
          <w:tcPr>
            <w:tcW w:type="dxa" w:w="794"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sz w:val="17"/>
              </w:rPr>
              <w:t>8</w:t>
            </w:r>
          </w:p>
        </w:tc>
        <w:tc>
          <w:tcPr>
            <w:tcW w:type="dxa" w:w="1304"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sz w:val="17"/>
              </w:rPr>
              <w:t>0</w:t>
            </w:r>
          </w:p>
        </w:tc>
        <w:tc>
          <w:tcPr>
            <w:tcW w:type="dxa" w:w="1701"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sz w:val="17"/>
              </w:rPr>
              <w:t>0</w:t>
            </w:r>
          </w:p>
        </w:tc>
      </w:tr>
      <w:tr>
        <w:trPr>
          <w:cantSplit w:val="true"/>
        </w:trPr>
        <w:tc>
          <w:tcPr>
            <w:tcW w:type="dxa" w:w="2041"/>
            <w:shd w:val="clear" w:color="auto" w:fill="F2F5F8"/>
          </w:tcPr>
          <w:p>
            <w:pPr>
              <w:keepNext/>
              <w:spacing w:after="20" w:before="20" w:line="240" w:lineRule="auto"/>
              <w:jc w:val="left"/>
            </w:pPr>
            <w:r/>
            <w:r>
              <w:rPr>
                <w:sz w:val="17"/>
              </w:rPr>
              <w:t>5%</w:t>
            </w:r>
          </w:p>
        </w:tc>
        <w:tc>
          <w:tcPr>
            <w:tcW w:type="dxa" w:w="1474"/>
            <w:shd w:val="clear" w:color="auto" w:fill="F2F5F8"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sz w:val="17"/>
              </w:rPr>
              <w:t>48.05%</w:t>
            </w:r>
          </w:p>
        </w:tc>
        <w:tc>
          <w:tcPr>
            <w:tcW w:type="dxa" w:w="737"/>
            <w:shd w:val="clear" w:color="auto" w:fill="F2F5F8"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sz w:val="17"/>
              </w:rPr>
              <w:t>6</w:t>
            </w:r>
          </w:p>
        </w:tc>
        <w:tc>
          <w:tcPr>
            <w:tcW w:type="dxa" w:w="907"/>
            <w:shd w:val="clear" w:color="auto" w:fill="F2F5F8"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sz w:val="17"/>
              </w:rPr>
              <w:t>14</w:t>
            </w:r>
          </w:p>
        </w:tc>
        <w:tc>
          <w:tcPr>
            <w:tcW w:type="dxa" w:w="794"/>
            <w:shd w:val="clear" w:color="auto" w:fill="F2F5F8"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sz w:val="17"/>
              </w:rPr>
              <w:t>12</w:t>
            </w:r>
          </w:p>
        </w:tc>
        <w:tc>
          <w:tcPr>
            <w:tcW w:type="dxa" w:w="1304"/>
            <w:shd w:val="clear" w:color="auto" w:fill="F2F5F8"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sz w:val="17"/>
              </w:rPr>
              <w:t>6</w:t>
            </w:r>
          </w:p>
        </w:tc>
        <w:tc>
          <w:tcPr>
            <w:tcW w:type="dxa" w:w="1701"/>
            <w:shd w:val="clear" w:color="auto" w:fill="F2F5F8"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sz w:val="17"/>
              </w:rPr>
              <w:t>1,082,524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keepNext/>
              <w:spacing w:after="20" w:before="20" w:line="240" w:lineRule="auto"/>
              <w:jc w:val="left"/>
            </w:pPr>
            <w:r/>
            <w:r>
              <w:rPr>
                <w:sz w:val="17"/>
              </w:rPr>
              <w:t>10%</w:t>
            </w:r>
          </w:p>
        </w:tc>
        <w:tc>
          <w:tcPr>
            <w:tcW w:type="dxa" w:w="1474"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sz w:val="17"/>
              </w:rPr>
              <w:t>47.00%</w:t>
            </w:r>
          </w:p>
        </w:tc>
        <w:tc>
          <w:tcPr>
            <w:tcW w:type="dxa" w:w="737"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sz w:val="17"/>
              </w:rPr>
              <w:t>6</w:t>
            </w:r>
          </w:p>
        </w:tc>
        <w:tc>
          <w:tcPr>
            <w:tcW w:type="dxa" w:w="907"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sz w:val="17"/>
              </w:rPr>
              <w:t>11</w:t>
            </w:r>
          </w:p>
        </w:tc>
        <w:tc>
          <w:tcPr>
            <w:tcW w:type="dxa" w:w="794"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sz w:val="17"/>
              </w:rPr>
              <w:t>15</w:t>
            </w:r>
          </w:p>
        </w:tc>
        <w:tc>
          <w:tcPr>
            <w:tcW w:type="dxa" w:w="1304"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sz w:val="17"/>
              </w:rPr>
              <w:t>9</w:t>
            </w:r>
          </w:p>
        </w:tc>
        <w:tc>
          <w:tcPr>
            <w:tcW w:type="dxa" w:w="1701"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sz w:val="17"/>
              </w:rPr>
              <w:t>2,165,039</w:t>
            </w:r>
          </w:p>
        </w:tc>
      </w:tr>
      <w:tr>
        <w:trPr>
          <w:cantSplit w:val="true"/>
        </w:trPr>
        <w:tc>
          <w:tcPr>
            <w:tcW w:type="dxa" w:w="2041"/>
            <w:shd w:val="clear" w:color="auto" w:fill="F2F5F8"/>
          </w:tcPr>
          <w:p>
            <w:pPr>
              <w:keepNext/>
              <w:spacing w:after="20" w:before="20" w:line="240" w:lineRule="auto"/>
              <w:jc w:val="left"/>
            </w:pPr>
            <w:r/>
            <w:r>
              <w:rPr>
                <w:sz w:val="17"/>
              </w:rPr>
              <w:t>15%</w:t>
            </w:r>
          </w:p>
        </w:tc>
        <w:tc>
          <w:tcPr>
            <w:tcW w:type="dxa" w:w="1474"/>
            <w:shd w:val="clear" w:color="auto" w:fill="F2F5F8"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sz w:val="17"/>
              </w:rPr>
              <w:t>45.96%</w:t>
            </w:r>
          </w:p>
        </w:tc>
        <w:tc>
          <w:tcPr>
            <w:tcW w:type="dxa" w:w="737"/>
            <w:shd w:val="clear" w:color="auto" w:fill="F2F5F8"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sz w:val="17"/>
              </w:rPr>
              <w:t>4</w:t>
            </w:r>
          </w:p>
        </w:tc>
        <w:tc>
          <w:tcPr>
            <w:tcW w:type="dxa" w:w="907"/>
            <w:shd w:val="clear" w:color="auto" w:fill="F2F5F8"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sz w:val="17"/>
              </w:rPr>
              <w:t>11</w:t>
            </w:r>
          </w:p>
        </w:tc>
        <w:tc>
          <w:tcPr>
            <w:tcW w:type="dxa" w:w="794"/>
            <w:shd w:val="clear" w:color="auto" w:fill="F2F5F8"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sz w:val="17"/>
              </w:rPr>
              <w:t>17</w:t>
            </w:r>
          </w:p>
        </w:tc>
        <w:tc>
          <w:tcPr>
            <w:tcW w:type="dxa" w:w="1304"/>
            <w:shd w:val="clear" w:color="auto" w:fill="F2F5F8"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sz w:val="17"/>
              </w:rPr>
              <w:t>13</w:t>
            </w:r>
          </w:p>
        </w:tc>
        <w:tc>
          <w:tcPr>
            <w:tcW w:type="dxa" w:w="1701"/>
            <w:shd w:val="clear" w:color="auto" w:fill="F2F5F8"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sz w:val="17"/>
              </w:rPr>
              <w:t>3,247,560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keepNext w:val="0"/>
              <w:spacing w:after="20" w:before="20" w:line="240" w:lineRule="auto"/>
              <w:jc w:val="left"/>
            </w:pPr>
            <w:r/>
            <w:r>
              <w:rPr>
                <w:sz w:val="17"/>
              </w:rPr>
              <w:t>20%</w:t>
            </w:r>
          </w:p>
        </w:tc>
        <w:tc>
          <w:tcPr>
            <w:tcW w:type="dxa" w:w="1474"/>
          </w:tcPr>
          <w:p>
            <w:pPr>
              <w:keepNext w:val="0"/>
              <w:spacing w:after="20" w:before="20" w:line="240" w:lineRule="auto"/>
              <w:jc w:val="center"/>
            </w:pPr>
            <w:r/>
            <w:r>
              <w:rPr>
                <w:sz w:val="17"/>
              </w:rPr>
              <w:t>44.91%</w:t>
            </w:r>
          </w:p>
        </w:tc>
        <w:tc>
          <w:tcPr>
            <w:tcW w:type="dxa" w:w="737"/>
          </w:tcPr>
          <w:p>
            <w:pPr>
              <w:keepNext w:val="0"/>
              <w:spacing w:after="20" w:before="20" w:line="240" w:lineRule="auto"/>
              <w:jc w:val="center"/>
            </w:pPr>
            <w:r/>
            <w:r>
              <w:rPr>
                <w:sz w:val="17"/>
              </w:rPr>
              <w:t>2</w:t>
            </w:r>
          </w:p>
        </w:tc>
        <w:tc>
          <w:tcPr>
            <w:tcW w:type="dxa" w:w="907"/>
          </w:tcPr>
          <w:p>
            <w:pPr>
              <w:keepNext w:val="0"/>
              <w:spacing w:after="20" w:before="20" w:line="240" w:lineRule="auto"/>
              <w:jc w:val="center"/>
            </w:pPr>
            <w:r/>
            <w:r>
              <w:rPr>
                <w:sz w:val="17"/>
              </w:rPr>
              <w:t>10</w:t>
            </w:r>
          </w:p>
        </w:tc>
        <w:tc>
          <w:tcPr>
            <w:tcW w:type="dxa" w:w="794"/>
          </w:tcPr>
          <w:p>
            <w:pPr>
              <w:keepNext w:val="0"/>
              <w:spacing w:after="20" w:before="20" w:line="240" w:lineRule="auto"/>
              <w:jc w:val="center"/>
            </w:pPr>
            <w:r/>
            <w:r>
              <w:rPr>
                <w:sz w:val="17"/>
              </w:rPr>
              <w:t>20</w:t>
            </w:r>
          </w:p>
        </w:tc>
        <w:tc>
          <w:tcPr>
            <w:tcW w:type="dxa" w:w="1304"/>
          </w:tcPr>
          <w:p>
            <w:pPr>
              <w:keepNext w:val="0"/>
              <w:spacing w:after="20" w:before="20" w:line="240" w:lineRule="auto"/>
              <w:jc w:val="center"/>
            </w:pPr>
            <w:r/>
            <w:r>
              <w:rPr>
                <w:sz w:val="17"/>
              </w:rPr>
              <w:t>18</w:t>
            </w:r>
          </w:p>
        </w:tc>
        <w:tc>
          <w:tcPr>
            <w:tcW w:type="dxa" w:w="1701"/>
          </w:tcPr>
          <w:p>
            <w:pPr>
              <w:keepNext w:val="0"/>
              <w:spacing w:after="20" w:before="20" w:line="240" w:lineRule="auto"/>
              <w:jc w:val="center"/>
            </w:pPr>
            <w:r/>
            <w:r>
              <w:rPr>
                <w:sz w:val="17"/>
              </w:rPr>
              <w:t>4,330,078</w:t>
            </w:r>
          </w:p>
        </w:tc>
      </w:tr>
    </w:tbl>
    <w:p>
      <w:pPr>
        <w:spacing w:after="40"/>
      </w:pPr>
    </w:p>
    <w:p>
      <w:pPr>
        <w:spacing w:after="100"/>
        <w:jc w:val="both"/>
      </w:pPr>
      <w:r>
        <w:rPr>
          <w:b w:val="0"/>
        </w:rPr>
        <w:t>El 15% es un supuesto explícito, no una estimación causal. Con una eficacia de solo 5%, la intervención nacional ya recuperaría 1,082,524 votos y bajaría a 6 las entidades en rojo; la conclusión de prioridad territorial no depende del valor exacto.</w:t>
      </w:r>
    </w:p>
    <w:p>
      <w:pPr>
        <w:keepNext/>
        <w:spacing w:after="2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024000" cy="280395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ranking_32_entidades_banda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24000" cy="28039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264" w:lineRule="auto"/>
        <w:jc w:val="center"/>
      </w:pPr>
      <w:r>
        <w:rPr>
          <w:b/>
          <w:color w:val="7D8894"/>
          <w:sz w:val="18"/>
        </w:rPr>
        <w:t>Figura 5.</w:t>
      </w:r>
      <w:r>
        <w:rPr>
          <w:b w:val="0"/>
          <w:color w:val="7D8894"/>
          <w:sz w:val="18"/>
        </w:rPr>
        <w:t xml:space="preserve"> Ranking 2027 con banda de incertidumbre y desplazamiento al Escenario 2A.</w:t>
      </w:r>
    </w:p>
    <w:p>
      <w:pPr>
        <w:pStyle w:val="Heading1"/>
      </w:pPr>
      <w:r>
        <w:t>5. Focalización subestatal: 300 distritos y los distritos rojos ocultos</w:t>
      </w:r>
    </w:p>
    <w:p>
      <w:pPr>
        <w:spacing w:after="100"/>
        <w:jc w:val="both"/>
      </w:pPr>
      <w:r>
        <w:rPr>
          <w:b w:val="0"/>
        </w:rPr>
        <w:t>Para llevar el semáforo a la escala operativa de las Juntas Distritales Ejecutivas se construyó una capa con los 300 distritos federales (cartografía 2023): a la abstención observada de cada distrito en 2024 se suma el cambio proyectado de su entidad entre 2024 y 2027, y los distritos se clasifican con sus propios cuartiles (rojo ≥ 53.07%, verde ≤ 44.93%). Resultan 75 distritos en rojo, 150 en amarillo y 75 en verde.</w:t>
      </w:r>
    </w:p>
    <w:p>
      <w:pPr>
        <w:spacing w:after="100"/>
        <w:jc w:val="both"/>
      </w:pPr>
      <w:r>
        <w:rPr>
          <w:b/>
        </w:rPr>
        <w:t>El hallazgo clave:</w:t>
      </w:r>
      <w:r>
        <w:rPr>
          <w:b w:val="0"/>
        </w:rPr>
        <w:t xml:space="preserve"> 53 distritos rojos están en entidades rojas, pero </w:t>
      </w:r>
      <w:r>
        <w:rPr>
          <w:b/>
        </w:rPr>
        <w:t>22 distritos rojos están en 12 entidades amarillas o verdes</w:t>
      </w:r>
      <w:r>
        <w:rPr>
          <w:b w:val="0"/>
        </w:rPr>
        <w:t xml:space="preserve"> y suman 3.83 millones de abstencionistas esperados. Una asignación de recursos basada solo en el promedio estatal los dejaría fuera. Los casos más numerosos son Nuevo León (6 distritos), Tamaulipas (3) y México, Sinaloa y Tabasco (2 cada uno); el caso más contrastante es el distrito 9 de Chiapas, en rojo dentro de una entidad verde.</w:t>
      </w:r>
    </w:p>
    <w:p>
      <w:pPr>
        <w:keepNext/>
        <w:spacing w:after="40" w:line="264" w:lineRule="auto"/>
        <w:jc w:val="left"/>
      </w:pPr>
      <w:r>
        <w:rPr>
          <w:b/>
          <w:sz w:val="19"/>
        </w:rPr>
        <w:t>Tabla 11.</w:t>
      </w:r>
      <w:r>
        <w:rPr>
          <w:b w:val="0"/>
          <w:sz w:val="19"/>
        </w:rPr>
        <w:t xml:space="preserve"> Top 15 nacional de distritos con mayor abstención proyectada 2027</w:t>
      </w:r>
    </w:p>
    <w:tbl>
      <w:tblPr>
        <w:tblW w:type="dxa" w:w="9015"/>
        <w:jc w:val="center"/>
        <w:tblLayout w:type="fixed"/>
        <w:tblLook w:firstColumn="1" w:firstRow="1" w:lastColumn="0" w:lastRow="0" w:noHBand="0" w:noVBand="1" w:val="04A0"/>
        <w:tblBorders>
          <w:top w:val="single" w:sz="4" w:color="D5DCE3"/>
          <w:bottom w:val="single" w:sz="4" w:color="D5DCE3"/>
          <w:insideH w:val="single" w:sz="4" w:color="D5DCE3"/>
          <w:left w:val="nil"/>
          <w:right w:val="nil"/>
          <w:insideV w:val="nil"/>
        </w:tblBorders>
        <w:tblLayout w:type="fixed"/>
      </w:tblPr>
      <w:tblGrid>
        <w:gridCol w:w="2154"/>
        <w:gridCol w:w="567"/>
        <w:gridCol w:w="680"/>
        <w:gridCol w:w="1134"/>
        <w:gridCol w:w="1134"/>
        <w:gridCol w:w="1304"/>
        <w:gridCol w:w="2041"/>
      </w:tblGrid>
      <w:tr>
        <w:trPr>
          <w:cantSplit w:val="true"/>
          <w:tblHeader w:val="true"/>
        </w:trPr>
        <w:tc>
          <w:tcPr>
            <w:tcW w:type="dxa" w:w="2154"/>
            <w:shd w:val="clear" w:color="auto" w:fill="23395B"/>
          </w:tcPr>
          <w:p>
            <w:pPr>
              <w:keepNext/>
              <w:spacing w:after="20" w:before="20" w:line="240" w:lineRule="auto"/>
              <w:jc w:val="left"/>
            </w:pPr>
            <w:r/>
            <w:r>
              <w:rPr>
                <w:b/>
                <w:color w:val="FFFFFF"/>
                <w:sz w:val="16"/>
              </w:rPr>
              <w:t>Entidad</w:t>
            </w:r>
          </w:p>
        </w:tc>
        <w:tc>
          <w:tcPr>
            <w:tcW w:type="dxa" w:w="567"/>
            <w:shd w:val="clear" w:color="auto" w:fill="23395B"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b/>
                <w:color w:val="FFFFFF"/>
                <w:sz w:val="16"/>
              </w:rPr>
              <w:t>#</w:t>
            </w:r>
          </w:p>
        </w:tc>
        <w:tc>
          <w:tcPr>
            <w:tcW w:type="dxa" w:w="680"/>
            <w:shd w:val="clear" w:color="auto" w:fill="23395B"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b/>
                <w:color w:val="FFFFFF"/>
                <w:sz w:val="16"/>
              </w:rPr>
              <w:t>DEF</w:t>
            </w:r>
          </w:p>
        </w:tc>
        <w:tc>
          <w:tcPr>
            <w:tcW w:type="dxa" w:w="1134"/>
            <w:shd w:val="clear" w:color="auto" w:fill="23395B"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b/>
                <w:color w:val="FFFFFF"/>
                <w:sz w:val="16"/>
              </w:rPr>
              <w:t>Abst. 2024</w:t>
            </w:r>
          </w:p>
        </w:tc>
        <w:tc>
          <w:tcPr>
            <w:tcW w:type="dxa" w:w="1134"/>
            <w:shd w:val="clear" w:color="auto" w:fill="23395B"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b/>
                <w:color w:val="FFFFFF"/>
                <w:sz w:val="16"/>
              </w:rPr>
              <w:t>Proy. 2027</w:t>
            </w:r>
          </w:p>
        </w:tc>
        <w:tc>
          <w:tcPr>
            <w:tcW w:type="dxa" w:w="1304"/>
            <w:shd w:val="clear" w:color="auto" w:fill="23395B"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b/>
                <w:color w:val="FFFFFF"/>
                <w:sz w:val="16"/>
              </w:rPr>
              <w:t>Sem. entidad</w:t>
            </w:r>
          </w:p>
        </w:tc>
        <w:tc>
          <w:tcPr>
            <w:tcW w:type="dxa" w:w="2041"/>
            <w:shd w:val="clear" w:color="auto" w:fill="23395B"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b/>
                <w:color w:val="FFFFFF"/>
                <w:sz w:val="16"/>
              </w:rPr>
              <w:t>Abstencionistas esperados</w:t>
            </w:r>
          </w:p>
        </w:tc>
      </w:tr>
      <w:tr>
        <w:trPr>
          <w:cantSplit w:val="true"/>
        </w:trPr>
        <w:tc>
          <w:tcPr>
            <w:tcW w:type="dxa" w:w="2154"/>
          </w:tcPr>
          <w:p>
            <w:pPr>
              <w:keepNext/>
              <w:spacing w:after="20" w:before="20" w:line="240" w:lineRule="auto"/>
              <w:jc w:val="left"/>
            </w:pPr>
            <w:r/>
            <w:r>
              <w:rPr>
                <w:sz w:val="16"/>
              </w:rPr>
              <w:t>Jalisco</w:t>
            </w:r>
          </w:p>
        </w:tc>
        <w:tc>
          <w:tcPr>
            <w:tcW w:type="dxa" w:w="567"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680"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sz w:val="16"/>
              </w:rPr>
              <w:t>14</w:t>
            </w:r>
          </w:p>
        </w:tc>
        <w:tc>
          <w:tcPr>
            <w:tcW w:type="dxa" w:w="1134"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sz w:val="16"/>
              </w:rPr>
              <w:t>55.14</w:t>
            </w:r>
          </w:p>
        </w:tc>
        <w:tc>
          <w:tcPr>
            <w:tcW w:type="dxa" w:w="1134"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sz w:val="16"/>
              </w:rPr>
              <w:t>66.58</w:t>
            </w:r>
          </w:p>
        </w:tc>
        <w:tc>
          <w:tcPr>
            <w:tcW w:type="dxa" w:w="1304"/>
            <w:shd w:val="clear" w:color="auto" w:fill="F4B6B6"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sz w:val="16"/>
              </w:rPr>
              <w:t>Rojo</w:t>
            </w:r>
          </w:p>
        </w:tc>
        <w:tc>
          <w:tcPr>
            <w:tcW w:type="dxa" w:w="2041"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sz w:val="16"/>
              </w:rPr>
              <w:t>169,875</w:t>
            </w:r>
          </w:p>
        </w:tc>
      </w:tr>
      <w:tr>
        <w:trPr>
          <w:cantSplit w:val="true"/>
        </w:trPr>
        <w:tc>
          <w:tcPr>
            <w:tcW w:type="dxa" w:w="2154"/>
            <w:shd w:val="clear" w:color="auto" w:fill="F2F5F8"/>
          </w:tcPr>
          <w:p>
            <w:pPr>
              <w:keepNext/>
              <w:spacing w:after="20" w:before="20" w:line="240" w:lineRule="auto"/>
              <w:jc w:val="left"/>
            </w:pPr>
            <w:r/>
            <w:r>
              <w:rPr>
                <w:sz w:val="16"/>
              </w:rPr>
              <w:t>Baja California</w:t>
            </w:r>
          </w:p>
        </w:tc>
        <w:tc>
          <w:tcPr>
            <w:tcW w:type="dxa" w:w="567"/>
            <w:shd w:val="clear" w:color="auto" w:fill="F2F5F8"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680"/>
            <w:shd w:val="clear" w:color="auto" w:fill="F2F5F8"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sz w:val="16"/>
              </w:rPr>
              <w:t>9</w:t>
            </w:r>
          </w:p>
        </w:tc>
        <w:tc>
          <w:tcPr>
            <w:tcW w:type="dxa" w:w="1134"/>
            <w:shd w:val="clear" w:color="auto" w:fill="F2F5F8"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sz w:val="16"/>
              </w:rPr>
              <w:t>57.21</w:t>
            </w:r>
          </w:p>
        </w:tc>
        <w:tc>
          <w:tcPr>
            <w:tcW w:type="dxa" w:w="1134"/>
            <w:shd w:val="clear" w:color="auto" w:fill="F2F5F8"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sz w:val="16"/>
              </w:rPr>
              <w:t>64.91</w:t>
            </w:r>
          </w:p>
        </w:tc>
        <w:tc>
          <w:tcPr>
            <w:tcW w:type="dxa" w:w="1304"/>
            <w:shd w:val="clear" w:color="auto" w:fill="F4B6B6"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sz w:val="16"/>
              </w:rPr>
              <w:t>Rojo</w:t>
            </w:r>
          </w:p>
        </w:tc>
        <w:tc>
          <w:tcPr>
            <w:tcW w:type="dxa" w:w="2041"/>
            <w:shd w:val="clear" w:color="auto" w:fill="F2F5F8"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sz w:val="16"/>
              </w:rPr>
              <w:t>231,754</w:t>
            </w:r>
          </w:p>
        </w:tc>
      </w:tr>
      <w:tr>
        <w:trPr>
          <w:cantSplit w:val="true"/>
        </w:trPr>
        <w:tc>
          <w:tcPr>
            <w:tcW w:type="dxa" w:w="2154"/>
          </w:tcPr>
          <w:p>
            <w:pPr>
              <w:keepNext/>
              <w:spacing w:after="20" w:before="20" w:line="240" w:lineRule="auto"/>
              <w:jc w:val="left"/>
            </w:pPr>
            <w:r/>
            <w:r>
              <w:rPr>
                <w:sz w:val="16"/>
              </w:rPr>
              <w:t>Sonora</w:t>
            </w:r>
          </w:p>
        </w:tc>
        <w:tc>
          <w:tcPr>
            <w:tcW w:type="dxa" w:w="567"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680"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1134"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sz w:val="16"/>
              </w:rPr>
              <w:t>58.24</w:t>
            </w:r>
          </w:p>
        </w:tc>
        <w:tc>
          <w:tcPr>
            <w:tcW w:type="dxa" w:w="1134"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sz w:val="16"/>
              </w:rPr>
              <w:t>64.64</w:t>
            </w:r>
          </w:p>
        </w:tc>
        <w:tc>
          <w:tcPr>
            <w:tcW w:type="dxa" w:w="1304"/>
            <w:shd w:val="clear" w:color="auto" w:fill="F4B6B6"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sz w:val="16"/>
              </w:rPr>
              <w:t>Rojo</w:t>
            </w:r>
          </w:p>
        </w:tc>
        <w:tc>
          <w:tcPr>
            <w:tcW w:type="dxa" w:w="2041"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sz w:val="16"/>
              </w:rPr>
              <w:t>208,079</w:t>
            </w:r>
          </w:p>
        </w:tc>
      </w:tr>
      <w:tr>
        <w:trPr>
          <w:cantSplit w:val="true"/>
        </w:trPr>
        <w:tc>
          <w:tcPr>
            <w:tcW w:type="dxa" w:w="2154"/>
            <w:shd w:val="clear" w:color="auto" w:fill="F2F5F8"/>
          </w:tcPr>
          <w:p>
            <w:pPr>
              <w:keepNext/>
              <w:spacing w:after="20" w:before="20" w:line="240" w:lineRule="auto"/>
              <w:jc w:val="left"/>
            </w:pPr>
            <w:r/>
            <w:r>
              <w:rPr>
                <w:sz w:val="16"/>
              </w:rPr>
              <w:t>Sonora</w:t>
            </w:r>
          </w:p>
        </w:tc>
        <w:tc>
          <w:tcPr>
            <w:tcW w:type="dxa" w:w="567"/>
            <w:shd w:val="clear" w:color="auto" w:fill="F2F5F8"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sz w:val="16"/>
              </w:rPr>
              <w:t>4</w:t>
            </w:r>
          </w:p>
        </w:tc>
        <w:tc>
          <w:tcPr>
            <w:tcW w:type="dxa" w:w="680"/>
            <w:shd w:val="clear" w:color="auto" w:fill="F2F5F8"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34"/>
            <w:shd w:val="clear" w:color="auto" w:fill="F2F5F8"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sz w:val="16"/>
              </w:rPr>
              <w:t>56.85</w:t>
            </w:r>
          </w:p>
        </w:tc>
        <w:tc>
          <w:tcPr>
            <w:tcW w:type="dxa" w:w="1134"/>
            <w:shd w:val="clear" w:color="auto" w:fill="F2F5F8"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sz w:val="16"/>
              </w:rPr>
              <w:t>63.25</w:t>
            </w:r>
          </w:p>
        </w:tc>
        <w:tc>
          <w:tcPr>
            <w:tcW w:type="dxa" w:w="1304"/>
            <w:shd w:val="clear" w:color="auto" w:fill="F4B6B6"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sz w:val="16"/>
              </w:rPr>
              <w:t>Rojo</w:t>
            </w:r>
          </w:p>
        </w:tc>
        <w:tc>
          <w:tcPr>
            <w:tcW w:type="dxa" w:w="2041"/>
            <w:shd w:val="clear" w:color="auto" w:fill="F2F5F8"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sz w:val="16"/>
              </w:rPr>
              <w:t>236,887</w:t>
            </w:r>
          </w:p>
        </w:tc>
      </w:tr>
      <w:tr>
        <w:trPr>
          <w:cantSplit w:val="true"/>
        </w:trPr>
        <w:tc>
          <w:tcPr>
            <w:tcW w:type="dxa" w:w="2154"/>
          </w:tcPr>
          <w:p>
            <w:pPr>
              <w:keepNext/>
              <w:spacing w:after="20" w:before="20" w:line="240" w:lineRule="auto"/>
              <w:jc w:val="left"/>
            </w:pPr>
            <w:r/>
            <w:r>
              <w:rPr>
                <w:sz w:val="16"/>
              </w:rPr>
              <w:t>Chihuahua</w:t>
            </w:r>
          </w:p>
        </w:tc>
        <w:tc>
          <w:tcPr>
            <w:tcW w:type="dxa" w:w="567"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sz w:val="16"/>
              </w:rPr>
              <w:t>5</w:t>
            </w:r>
          </w:p>
        </w:tc>
        <w:tc>
          <w:tcPr>
            <w:tcW w:type="dxa" w:w="680"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34"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sz w:val="16"/>
              </w:rPr>
              <w:t>57.18</w:t>
            </w:r>
          </w:p>
        </w:tc>
        <w:tc>
          <w:tcPr>
            <w:tcW w:type="dxa" w:w="1134"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sz w:val="16"/>
              </w:rPr>
              <w:t>63.20</w:t>
            </w:r>
          </w:p>
        </w:tc>
        <w:tc>
          <w:tcPr>
            <w:tcW w:type="dxa" w:w="1304"/>
            <w:shd w:val="clear" w:color="auto" w:fill="F4B6B6"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sz w:val="16"/>
              </w:rPr>
              <w:t>Rojo</w:t>
            </w:r>
          </w:p>
        </w:tc>
        <w:tc>
          <w:tcPr>
            <w:tcW w:type="dxa" w:w="2041"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sz w:val="16"/>
              </w:rPr>
              <w:t>184,840</w:t>
            </w:r>
          </w:p>
        </w:tc>
      </w:tr>
      <w:tr>
        <w:trPr>
          <w:cantSplit w:val="true"/>
        </w:trPr>
        <w:tc>
          <w:tcPr>
            <w:tcW w:type="dxa" w:w="2154"/>
            <w:shd w:val="clear" w:color="auto" w:fill="F2F5F8"/>
          </w:tcPr>
          <w:p>
            <w:pPr>
              <w:keepNext/>
              <w:spacing w:after="20" w:before="20" w:line="240" w:lineRule="auto"/>
              <w:jc w:val="left"/>
            </w:pPr>
            <w:r/>
            <w:r>
              <w:rPr>
                <w:sz w:val="16"/>
              </w:rPr>
              <w:t>Chihuahua</w:t>
            </w:r>
          </w:p>
        </w:tc>
        <w:tc>
          <w:tcPr>
            <w:tcW w:type="dxa" w:w="567"/>
            <w:shd w:val="clear" w:color="auto" w:fill="F2F5F8"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680"/>
            <w:shd w:val="clear" w:color="auto" w:fill="F2F5F8"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34"/>
            <w:shd w:val="clear" w:color="auto" w:fill="F2F5F8"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sz w:val="16"/>
              </w:rPr>
              <w:t>56.34</w:t>
            </w:r>
          </w:p>
        </w:tc>
        <w:tc>
          <w:tcPr>
            <w:tcW w:type="dxa" w:w="1134"/>
            <w:shd w:val="clear" w:color="auto" w:fill="F2F5F8"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sz w:val="16"/>
              </w:rPr>
              <w:t>62.36</w:t>
            </w:r>
          </w:p>
        </w:tc>
        <w:tc>
          <w:tcPr>
            <w:tcW w:type="dxa" w:w="1304"/>
            <w:shd w:val="clear" w:color="auto" w:fill="F4B6B6"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sz w:val="16"/>
              </w:rPr>
              <w:t>Rojo</w:t>
            </w:r>
          </w:p>
        </w:tc>
        <w:tc>
          <w:tcPr>
            <w:tcW w:type="dxa" w:w="2041"/>
            <w:shd w:val="clear" w:color="auto" w:fill="F2F5F8"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sz w:val="16"/>
              </w:rPr>
              <w:t>221,957</w:t>
            </w:r>
          </w:p>
        </w:tc>
      </w:tr>
      <w:tr>
        <w:trPr>
          <w:cantSplit w:val="true"/>
        </w:trPr>
        <w:tc>
          <w:tcPr>
            <w:tcW w:type="dxa" w:w="2154"/>
          </w:tcPr>
          <w:p>
            <w:pPr>
              <w:keepNext/>
              <w:spacing w:after="20" w:before="20" w:line="240" w:lineRule="auto"/>
              <w:jc w:val="left"/>
            </w:pPr>
            <w:r/>
            <w:r>
              <w:rPr>
                <w:sz w:val="16"/>
              </w:rPr>
              <w:t>Guanajuato</w:t>
            </w:r>
          </w:p>
        </w:tc>
        <w:tc>
          <w:tcPr>
            <w:tcW w:type="dxa" w:w="567"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sz w:val="16"/>
              </w:rPr>
              <w:t>7</w:t>
            </w:r>
          </w:p>
        </w:tc>
        <w:tc>
          <w:tcPr>
            <w:tcW w:type="dxa" w:w="680"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sz w:val="16"/>
              </w:rPr>
              <w:t>13</w:t>
            </w:r>
          </w:p>
        </w:tc>
        <w:tc>
          <w:tcPr>
            <w:tcW w:type="dxa" w:w="1134"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sz w:val="16"/>
              </w:rPr>
              <w:t>49.05</w:t>
            </w:r>
          </w:p>
        </w:tc>
        <w:tc>
          <w:tcPr>
            <w:tcW w:type="dxa" w:w="1134"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sz w:val="16"/>
              </w:rPr>
              <w:t>61.78</w:t>
            </w:r>
          </w:p>
        </w:tc>
        <w:tc>
          <w:tcPr>
            <w:tcW w:type="dxa" w:w="1304"/>
            <w:shd w:val="clear" w:color="auto" w:fill="F4B6B6"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sz w:val="16"/>
              </w:rPr>
              <w:t>Rojo</w:t>
            </w:r>
          </w:p>
        </w:tc>
        <w:tc>
          <w:tcPr>
            <w:tcW w:type="dxa" w:w="2041"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sz w:val="16"/>
              </w:rPr>
              <w:t>220,594</w:t>
            </w:r>
          </w:p>
        </w:tc>
      </w:tr>
      <w:tr>
        <w:trPr>
          <w:cantSplit w:val="true"/>
        </w:trPr>
        <w:tc>
          <w:tcPr>
            <w:tcW w:type="dxa" w:w="2154"/>
            <w:shd w:val="clear" w:color="auto" w:fill="F2F5F8"/>
          </w:tcPr>
          <w:p>
            <w:pPr>
              <w:keepNext/>
              <w:spacing w:after="20" w:before="20" w:line="240" w:lineRule="auto"/>
              <w:jc w:val="left"/>
            </w:pPr>
            <w:r/>
            <w:r>
              <w:rPr>
                <w:sz w:val="16"/>
              </w:rPr>
              <w:t>Baja California</w:t>
            </w:r>
          </w:p>
        </w:tc>
        <w:tc>
          <w:tcPr>
            <w:tcW w:type="dxa" w:w="567"/>
            <w:shd w:val="clear" w:color="auto" w:fill="F2F5F8"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sz w:val="16"/>
              </w:rPr>
              <w:t>8</w:t>
            </w:r>
          </w:p>
        </w:tc>
        <w:tc>
          <w:tcPr>
            <w:tcW w:type="dxa" w:w="680"/>
            <w:shd w:val="clear" w:color="auto" w:fill="F2F5F8"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sz w:val="16"/>
              </w:rPr>
              <w:t>8</w:t>
            </w:r>
          </w:p>
        </w:tc>
        <w:tc>
          <w:tcPr>
            <w:tcW w:type="dxa" w:w="1134"/>
            <w:shd w:val="clear" w:color="auto" w:fill="F2F5F8"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sz w:val="16"/>
              </w:rPr>
              <w:t>53.88</w:t>
            </w:r>
          </w:p>
        </w:tc>
        <w:tc>
          <w:tcPr>
            <w:tcW w:type="dxa" w:w="1134"/>
            <w:shd w:val="clear" w:color="auto" w:fill="F2F5F8"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sz w:val="16"/>
              </w:rPr>
              <w:t>61.58</w:t>
            </w:r>
          </w:p>
        </w:tc>
        <w:tc>
          <w:tcPr>
            <w:tcW w:type="dxa" w:w="1304"/>
            <w:shd w:val="clear" w:color="auto" w:fill="F4B6B6"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sz w:val="16"/>
              </w:rPr>
              <w:t>Rojo</w:t>
            </w:r>
          </w:p>
        </w:tc>
        <w:tc>
          <w:tcPr>
            <w:tcW w:type="dxa" w:w="2041"/>
            <w:shd w:val="clear" w:color="auto" w:fill="F2F5F8"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sz w:val="16"/>
              </w:rPr>
              <w:t>220,771</w:t>
            </w:r>
          </w:p>
        </w:tc>
      </w:tr>
      <w:tr>
        <w:trPr>
          <w:cantSplit w:val="true"/>
        </w:trPr>
        <w:tc>
          <w:tcPr>
            <w:tcW w:type="dxa" w:w="2154"/>
          </w:tcPr>
          <w:p>
            <w:pPr>
              <w:keepNext/>
              <w:spacing w:after="20" w:before="20" w:line="240" w:lineRule="auto"/>
              <w:jc w:val="left"/>
            </w:pPr>
            <w:r/>
            <w:r>
              <w:rPr>
                <w:sz w:val="16"/>
              </w:rPr>
              <w:t>Guanajuato</w:t>
            </w:r>
          </w:p>
        </w:tc>
        <w:tc>
          <w:tcPr>
            <w:tcW w:type="dxa" w:w="567"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sz w:val="16"/>
              </w:rPr>
              <w:t>9</w:t>
            </w:r>
          </w:p>
        </w:tc>
        <w:tc>
          <w:tcPr>
            <w:tcW w:type="dxa" w:w="680"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sz w:val="16"/>
              </w:rPr>
              <w:t>14</w:t>
            </w:r>
          </w:p>
        </w:tc>
        <w:tc>
          <w:tcPr>
            <w:tcW w:type="dxa" w:w="1134"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sz w:val="16"/>
              </w:rPr>
              <w:t>48.63</w:t>
            </w:r>
          </w:p>
        </w:tc>
        <w:tc>
          <w:tcPr>
            <w:tcW w:type="dxa" w:w="1134"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sz w:val="16"/>
              </w:rPr>
              <w:t>61.36</w:t>
            </w:r>
          </w:p>
        </w:tc>
        <w:tc>
          <w:tcPr>
            <w:tcW w:type="dxa" w:w="1304"/>
            <w:shd w:val="clear" w:color="auto" w:fill="F4B6B6"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sz w:val="16"/>
              </w:rPr>
              <w:t>Rojo</w:t>
            </w:r>
          </w:p>
        </w:tc>
        <w:tc>
          <w:tcPr>
            <w:tcW w:type="dxa" w:w="2041"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sz w:val="16"/>
              </w:rPr>
              <w:t>198,140</w:t>
            </w:r>
          </w:p>
        </w:tc>
      </w:tr>
      <w:tr>
        <w:trPr>
          <w:cantSplit w:val="true"/>
        </w:trPr>
        <w:tc>
          <w:tcPr>
            <w:tcW w:type="dxa" w:w="2154"/>
            <w:shd w:val="clear" w:color="auto" w:fill="F2F5F8"/>
          </w:tcPr>
          <w:p>
            <w:pPr>
              <w:keepNext/>
              <w:spacing w:after="20" w:before="20" w:line="240" w:lineRule="auto"/>
              <w:jc w:val="left"/>
            </w:pPr>
            <w:r/>
            <w:r>
              <w:rPr>
                <w:sz w:val="16"/>
              </w:rPr>
              <w:t>Baja California</w:t>
            </w:r>
          </w:p>
        </w:tc>
        <w:tc>
          <w:tcPr>
            <w:tcW w:type="dxa" w:w="567"/>
            <w:shd w:val="clear" w:color="auto" w:fill="F2F5F8"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sz w:val="16"/>
              </w:rPr>
              <w:t>10</w:t>
            </w:r>
          </w:p>
        </w:tc>
        <w:tc>
          <w:tcPr>
            <w:tcW w:type="dxa" w:w="680"/>
            <w:shd w:val="clear" w:color="auto" w:fill="F2F5F8"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sz w:val="16"/>
              </w:rPr>
              <w:t>4</w:t>
            </w:r>
          </w:p>
        </w:tc>
        <w:tc>
          <w:tcPr>
            <w:tcW w:type="dxa" w:w="1134"/>
            <w:shd w:val="clear" w:color="auto" w:fill="F2F5F8"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sz w:val="16"/>
              </w:rPr>
              <w:t>53.43</w:t>
            </w:r>
          </w:p>
        </w:tc>
        <w:tc>
          <w:tcPr>
            <w:tcW w:type="dxa" w:w="1134"/>
            <w:shd w:val="clear" w:color="auto" w:fill="F2F5F8"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sz w:val="16"/>
              </w:rPr>
              <w:t>61.14</w:t>
            </w:r>
          </w:p>
        </w:tc>
        <w:tc>
          <w:tcPr>
            <w:tcW w:type="dxa" w:w="1304"/>
            <w:shd w:val="clear" w:color="auto" w:fill="F4B6B6"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sz w:val="16"/>
              </w:rPr>
              <w:t>Rojo</w:t>
            </w:r>
          </w:p>
        </w:tc>
        <w:tc>
          <w:tcPr>
            <w:tcW w:type="dxa" w:w="2041"/>
            <w:shd w:val="clear" w:color="auto" w:fill="F2F5F8"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sz w:val="16"/>
              </w:rPr>
              <w:t>222,795</w:t>
            </w:r>
          </w:p>
        </w:tc>
      </w:tr>
      <w:tr>
        <w:trPr>
          <w:cantSplit w:val="true"/>
        </w:trPr>
        <w:tc>
          <w:tcPr>
            <w:tcW w:type="dxa" w:w="2154"/>
          </w:tcPr>
          <w:p>
            <w:pPr>
              <w:keepNext/>
              <w:spacing w:after="20" w:before="20" w:line="240" w:lineRule="auto"/>
              <w:jc w:val="left"/>
            </w:pPr>
            <w:r/>
            <w:r>
              <w:rPr>
                <w:sz w:val="16"/>
              </w:rPr>
              <w:t>Baja California</w:t>
            </w:r>
          </w:p>
        </w:tc>
        <w:tc>
          <w:tcPr>
            <w:tcW w:type="dxa" w:w="567"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sz w:val="16"/>
              </w:rPr>
              <w:t>11</w:t>
            </w:r>
          </w:p>
        </w:tc>
        <w:tc>
          <w:tcPr>
            <w:tcW w:type="dxa" w:w="680"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sz w:val="16"/>
              </w:rPr>
              <w:t>7</w:t>
            </w:r>
          </w:p>
        </w:tc>
        <w:tc>
          <w:tcPr>
            <w:tcW w:type="dxa" w:w="1134"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sz w:val="16"/>
              </w:rPr>
              <w:t>53.43</w:t>
            </w:r>
          </w:p>
        </w:tc>
        <w:tc>
          <w:tcPr>
            <w:tcW w:type="dxa" w:w="1134"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sz w:val="16"/>
              </w:rPr>
              <w:t>61.13</w:t>
            </w:r>
          </w:p>
        </w:tc>
        <w:tc>
          <w:tcPr>
            <w:tcW w:type="dxa" w:w="1304"/>
            <w:shd w:val="clear" w:color="auto" w:fill="F4B6B6"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sz w:val="16"/>
              </w:rPr>
              <w:t>Rojo</w:t>
            </w:r>
          </w:p>
        </w:tc>
        <w:tc>
          <w:tcPr>
            <w:tcW w:type="dxa" w:w="2041"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sz w:val="16"/>
              </w:rPr>
              <w:t>200,054</w:t>
            </w:r>
          </w:p>
        </w:tc>
      </w:tr>
      <w:tr>
        <w:trPr>
          <w:cantSplit w:val="true"/>
        </w:trPr>
        <w:tc>
          <w:tcPr>
            <w:tcW w:type="dxa" w:w="2154"/>
            <w:shd w:val="clear" w:color="auto" w:fill="F2F5F8"/>
          </w:tcPr>
          <w:p>
            <w:pPr>
              <w:keepNext/>
              <w:spacing w:after="20" w:before="20" w:line="240" w:lineRule="auto"/>
              <w:jc w:val="left"/>
            </w:pPr>
            <w:r/>
            <w:r>
              <w:rPr>
                <w:sz w:val="16"/>
              </w:rPr>
              <w:t>Jalisco</w:t>
            </w:r>
          </w:p>
        </w:tc>
        <w:tc>
          <w:tcPr>
            <w:tcW w:type="dxa" w:w="567"/>
            <w:shd w:val="clear" w:color="auto" w:fill="F2F5F8"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sz w:val="16"/>
              </w:rPr>
              <w:t>12</w:t>
            </w:r>
          </w:p>
        </w:tc>
        <w:tc>
          <w:tcPr>
            <w:tcW w:type="dxa" w:w="680"/>
            <w:shd w:val="clear" w:color="auto" w:fill="F2F5F8"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sz w:val="16"/>
              </w:rPr>
              <w:t>20</w:t>
            </w:r>
          </w:p>
        </w:tc>
        <w:tc>
          <w:tcPr>
            <w:tcW w:type="dxa" w:w="1134"/>
            <w:shd w:val="clear" w:color="auto" w:fill="F2F5F8"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sz w:val="16"/>
              </w:rPr>
              <w:t>49.68</w:t>
            </w:r>
          </w:p>
        </w:tc>
        <w:tc>
          <w:tcPr>
            <w:tcW w:type="dxa" w:w="1134"/>
            <w:shd w:val="clear" w:color="auto" w:fill="F2F5F8"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sz w:val="16"/>
              </w:rPr>
              <w:t>61.12</w:t>
            </w:r>
          </w:p>
        </w:tc>
        <w:tc>
          <w:tcPr>
            <w:tcW w:type="dxa" w:w="1304"/>
            <w:shd w:val="clear" w:color="auto" w:fill="F4B6B6"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sz w:val="16"/>
              </w:rPr>
              <w:t>Rojo</w:t>
            </w:r>
          </w:p>
        </w:tc>
        <w:tc>
          <w:tcPr>
            <w:tcW w:type="dxa" w:w="2041"/>
            <w:shd w:val="clear" w:color="auto" w:fill="F2F5F8"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sz w:val="16"/>
              </w:rPr>
              <w:t>157,050</w:t>
            </w:r>
          </w:p>
        </w:tc>
      </w:tr>
      <w:tr>
        <w:trPr>
          <w:cantSplit w:val="true"/>
        </w:trPr>
        <w:tc>
          <w:tcPr>
            <w:tcW w:type="dxa" w:w="2154"/>
          </w:tcPr>
          <w:p>
            <w:pPr>
              <w:keepNext/>
              <w:spacing w:after="20" w:before="20" w:line="240" w:lineRule="auto"/>
              <w:jc w:val="left"/>
            </w:pPr>
            <w:r/>
            <w:r>
              <w:rPr>
                <w:sz w:val="16"/>
              </w:rPr>
              <w:t>Jalisco</w:t>
            </w:r>
          </w:p>
        </w:tc>
        <w:tc>
          <w:tcPr>
            <w:tcW w:type="dxa" w:w="567"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sz w:val="16"/>
              </w:rPr>
              <w:t>13</w:t>
            </w:r>
          </w:p>
        </w:tc>
        <w:tc>
          <w:tcPr>
            <w:tcW w:type="dxa" w:w="680"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sz w:val="16"/>
              </w:rPr>
              <w:t>7</w:t>
            </w:r>
          </w:p>
        </w:tc>
        <w:tc>
          <w:tcPr>
            <w:tcW w:type="dxa" w:w="1134"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sz w:val="16"/>
              </w:rPr>
              <w:t>49.68</w:t>
            </w:r>
          </w:p>
        </w:tc>
        <w:tc>
          <w:tcPr>
            <w:tcW w:type="dxa" w:w="1134"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sz w:val="16"/>
              </w:rPr>
              <w:t>61.12</w:t>
            </w:r>
          </w:p>
        </w:tc>
        <w:tc>
          <w:tcPr>
            <w:tcW w:type="dxa" w:w="1304"/>
            <w:shd w:val="clear" w:color="auto" w:fill="F4B6B6"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sz w:val="16"/>
              </w:rPr>
              <w:t>Rojo</w:t>
            </w:r>
          </w:p>
        </w:tc>
        <w:tc>
          <w:tcPr>
            <w:tcW w:type="dxa" w:w="2041"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sz w:val="16"/>
              </w:rPr>
              <w:t>171,875</w:t>
            </w:r>
          </w:p>
        </w:tc>
      </w:tr>
      <w:tr>
        <w:trPr>
          <w:cantSplit w:val="true"/>
        </w:trPr>
        <w:tc>
          <w:tcPr>
            <w:tcW w:type="dxa" w:w="2154"/>
            <w:shd w:val="clear" w:color="auto" w:fill="F2F5F8"/>
          </w:tcPr>
          <w:p>
            <w:pPr>
              <w:keepNext/>
              <w:spacing w:after="20" w:before="20" w:line="240" w:lineRule="auto"/>
              <w:jc w:val="left"/>
            </w:pPr>
            <w:r/>
            <w:r>
              <w:rPr>
                <w:sz w:val="16"/>
              </w:rPr>
              <w:t>Guanajuato</w:t>
            </w:r>
          </w:p>
        </w:tc>
        <w:tc>
          <w:tcPr>
            <w:tcW w:type="dxa" w:w="567"/>
            <w:shd w:val="clear" w:color="auto" w:fill="F2F5F8"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sz w:val="16"/>
              </w:rPr>
              <w:t>14</w:t>
            </w:r>
          </w:p>
        </w:tc>
        <w:tc>
          <w:tcPr>
            <w:tcW w:type="dxa" w:w="680"/>
            <w:shd w:val="clear" w:color="auto" w:fill="F2F5F8"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sz w:val="16"/>
              </w:rPr>
              <w:t>15</w:t>
            </w:r>
          </w:p>
        </w:tc>
        <w:tc>
          <w:tcPr>
            <w:tcW w:type="dxa" w:w="1134"/>
            <w:shd w:val="clear" w:color="auto" w:fill="F2F5F8"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sz w:val="16"/>
              </w:rPr>
              <w:t>47.75</w:t>
            </w:r>
          </w:p>
        </w:tc>
        <w:tc>
          <w:tcPr>
            <w:tcW w:type="dxa" w:w="1134"/>
            <w:shd w:val="clear" w:color="auto" w:fill="F2F5F8"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sz w:val="16"/>
              </w:rPr>
              <w:t>60.47</w:t>
            </w:r>
          </w:p>
        </w:tc>
        <w:tc>
          <w:tcPr>
            <w:tcW w:type="dxa" w:w="1304"/>
            <w:shd w:val="clear" w:color="auto" w:fill="F4B6B6"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sz w:val="16"/>
              </w:rPr>
              <w:t>Rojo</w:t>
            </w:r>
          </w:p>
        </w:tc>
        <w:tc>
          <w:tcPr>
            <w:tcW w:type="dxa" w:w="2041"/>
            <w:shd w:val="clear" w:color="auto" w:fill="F2F5F8"/>
          </w:tcPr>
          <w:p>
            <w:pPr>
              <w:keepNext/>
              <w:spacing w:after="20" w:before="20" w:line="240" w:lineRule="auto"/>
              <w:jc w:val="center"/>
            </w:pPr>
            <w:r/>
            <w:r>
              <w:rPr>
                <w:sz w:val="16"/>
              </w:rPr>
              <w:t>185,034</w:t>
            </w:r>
          </w:p>
        </w:tc>
      </w:tr>
      <w:tr>
        <w:trPr>
          <w:cantSplit w:val="true"/>
        </w:trPr>
        <w:tc>
          <w:tcPr>
            <w:tcW w:type="dxa" w:w="2154"/>
          </w:tcPr>
          <w:p>
            <w:pPr>
              <w:keepNext w:val="0"/>
              <w:spacing w:after="20" w:before="20" w:line="240" w:lineRule="auto"/>
              <w:jc w:val="left"/>
            </w:pPr>
            <w:r/>
            <w:r>
              <w:rPr>
                <w:sz w:val="16"/>
              </w:rPr>
              <w:t>Baja California</w:t>
            </w:r>
          </w:p>
        </w:tc>
        <w:tc>
          <w:tcPr>
            <w:tcW w:type="dxa" w:w="567"/>
          </w:tcPr>
          <w:p>
            <w:pPr>
              <w:keepNext w:val="0"/>
              <w:spacing w:after="20" w:before="20" w:line="240" w:lineRule="auto"/>
              <w:jc w:val="center"/>
            </w:pPr>
            <w:r/>
            <w:r>
              <w:rPr>
                <w:sz w:val="16"/>
              </w:rPr>
              <w:t>15</w:t>
            </w:r>
          </w:p>
        </w:tc>
        <w:tc>
          <w:tcPr>
            <w:tcW w:type="dxa" w:w="680"/>
          </w:tcPr>
          <w:p>
            <w:pPr>
              <w:keepNext w:val="0"/>
              <w:spacing w:after="20" w:before="20" w:line="240" w:lineRule="auto"/>
              <w:jc w:val="center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1134"/>
          </w:tcPr>
          <w:p>
            <w:pPr>
              <w:keepNext w:val="0"/>
              <w:spacing w:after="20" w:before="20" w:line="240" w:lineRule="auto"/>
              <w:jc w:val="center"/>
            </w:pPr>
            <w:r/>
            <w:r>
              <w:rPr>
                <w:sz w:val="16"/>
              </w:rPr>
              <w:t>52.61</w:t>
            </w:r>
          </w:p>
        </w:tc>
        <w:tc>
          <w:tcPr>
            <w:tcW w:type="dxa" w:w="1134"/>
          </w:tcPr>
          <w:p>
            <w:pPr>
              <w:keepNext w:val="0"/>
              <w:spacing w:after="20" w:before="20" w:line="240" w:lineRule="auto"/>
              <w:jc w:val="center"/>
            </w:pPr>
            <w:r/>
            <w:r>
              <w:rPr>
                <w:sz w:val="16"/>
              </w:rPr>
              <w:t>60.31</w:t>
            </w:r>
          </w:p>
        </w:tc>
        <w:tc>
          <w:tcPr>
            <w:tcW w:type="dxa" w:w="1304"/>
            <w:shd w:val="clear" w:color="auto" w:fill="F4B6B6"/>
          </w:tcPr>
          <w:p>
            <w:pPr>
              <w:keepNext w:val="0"/>
              <w:spacing w:after="20" w:before="20" w:line="240" w:lineRule="auto"/>
              <w:jc w:val="center"/>
            </w:pPr>
            <w:r/>
            <w:r>
              <w:rPr>
                <w:sz w:val="16"/>
              </w:rPr>
              <w:t>Rojo</w:t>
            </w:r>
          </w:p>
        </w:tc>
        <w:tc>
          <w:tcPr>
            <w:tcW w:type="dxa" w:w="2041"/>
          </w:tcPr>
          <w:p>
            <w:pPr>
              <w:keepNext w:val="0"/>
              <w:spacing w:after="20" w:before="20" w:line="240" w:lineRule="auto"/>
              <w:jc w:val="center"/>
            </w:pPr>
            <w:r/>
            <w:r>
              <w:rPr>
                <w:sz w:val="16"/>
              </w:rPr>
              <w:t>229,391</w:t>
            </w:r>
          </w:p>
        </w:tc>
      </w:tr>
    </w:tbl>
    <w:p>
      <w:pPr>
        <w:spacing w:after="40"/>
      </w:pPr>
    </w:p>
    <w:p>
      <w:pPr>
        <w:keepNext/>
        <w:spacing w:after="40" w:line="264" w:lineRule="auto"/>
        <w:jc w:val="left"/>
      </w:pPr>
      <w:r>
        <w:rPr>
          <w:b/>
          <w:sz w:val="19"/>
        </w:rPr>
        <w:t>Tabla 12.</w:t>
      </w:r>
      <w:r>
        <w:rPr>
          <w:b w:val="0"/>
          <w:sz w:val="19"/>
        </w:rPr>
        <w:t xml:space="preserve"> Los 22 distritos rojos ocultos en entidades amarillas o verdes</w:t>
      </w:r>
    </w:p>
    <w:tbl>
      <w:tblPr>
        <w:tblW w:type="dxa" w:w="8845"/>
        <w:jc w:val="center"/>
        <w:tblLayout w:type="fixed"/>
        <w:tblLook w:firstColumn="1" w:firstRow="1" w:lastColumn="0" w:lastRow="0" w:noHBand="0" w:noVBand="1" w:val="04A0"/>
        <w:tblBorders>
          <w:top w:val="single" w:sz="4" w:color="D5DCE3"/>
          <w:bottom w:val="single" w:sz="4" w:color="D5DCE3"/>
          <w:insideH w:val="single" w:sz="4" w:color="D5DCE3"/>
          <w:left w:val="nil"/>
          <w:right w:val="nil"/>
          <w:insideV w:val="nil"/>
        </w:tblBorders>
        <w:tblLayout w:type="fixed"/>
      </w:tblPr>
      <w:tblGrid>
        <w:gridCol w:w="2211"/>
        <w:gridCol w:w="737"/>
        <w:gridCol w:w="1247"/>
        <w:gridCol w:w="1247"/>
        <w:gridCol w:w="1360"/>
        <w:gridCol w:w="2041"/>
      </w:tblGrid>
      <w:tr>
        <w:trPr>
          <w:cantSplit w:val="true"/>
          <w:tblHeader w:val="true"/>
        </w:trPr>
        <w:tc>
          <w:tcPr>
            <w:tcW w:type="dxa" w:w="2211"/>
            <w:shd w:val="clear" w:color="auto" w:fill="23395B"/>
          </w:tcPr>
          <w:p>
            <w:pPr>
              <w:keepNext w:val="0"/>
              <w:spacing w:after="20" w:before="20" w:line="240" w:lineRule="auto"/>
              <w:jc w:val="left"/>
            </w:pPr>
            <w:r/>
            <w:r>
              <w:rPr>
                <w:b/>
                <w:color w:val="FFFFFF"/>
                <w:sz w:val="16"/>
              </w:rPr>
              <w:t>Entidad</w:t>
            </w:r>
          </w:p>
        </w:tc>
        <w:tc>
          <w:tcPr>
            <w:tcW w:type="dxa" w:w="737"/>
            <w:shd w:val="clear" w:color="auto" w:fill="23395B"/>
          </w:tcPr>
          <w:p>
            <w:pPr>
              <w:keepNext w:val="0"/>
              <w:spacing w:after="20" w:before="20" w:line="240" w:lineRule="auto"/>
              <w:jc w:val="center"/>
            </w:pPr>
            <w:r/>
            <w:r>
              <w:rPr>
                <w:b/>
                <w:color w:val="FFFFFF"/>
                <w:sz w:val="16"/>
              </w:rPr>
              <w:t>DEF</w:t>
            </w:r>
          </w:p>
        </w:tc>
        <w:tc>
          <w:tcPr>
            <w:tcW w:type="dxa" w:w="1247"/>
            <w:shd w:val="clear" w:color="auto" w:fill="23395B"/>
          </w:tcPr>
          <w:p>
            <w:pPr>
              <w:keepNext w:val="0"/>
              <w:spacing w:after="20" w:before="20" w:line="240" w:lineRule="auto"/>
              <w:jc w:val="center"/>
            </w:pPr>
            <w:r/>
            <w:r>
              <w:rPr>
                <w:b/>
                <w:color w:val="FFFFFF"/>
                <w:sz w:val="16"/>
              </w:rPr>
              <w:t>Abst. 2024</w:t>
            </w:r>
          </w:p>
        </w:tc>
        <w:tc>
          <w:tcPr>
            <w:tcW w:type="dxa" w:w="1247"/>
            <w:shd w:val="clear" w:color="auto" w:fill="23395B"/>
          </w:tcPr>
          <w:p>
            <w:pPr>
              <w:keepNext w:val="0"/>
              <w:spacing w:after="20" w:before="20" w:line="240" w:lineRule="auto"/>
              <w:jc w:val="center"/>
            </w:pPr>
            <w:r/>
            <w:r>
              <w:rPr>
                <w:b/>
                <w:color w:val="FFFFFF"/>
                <w:sz w:val="16"/>
              </w:rPr>
              <w:t>Proy. 2027</w:t>
            </w:r>
          </w:p>
        </w:tc>
        <w:tc>
          <w:tcPr>
            <w:tcW w:type="dxa" w:w="1361"/>
            <w:shd w:val="clear" w:color="auto" w:fill="23395B"/>
          </w:tcPr>
          <w:p>
            <w:pPr>
              <w:keepNext w:val="0"/>
              <w:spacing w:after="20" w:before="20" w:line="240" w:lineRule="auto"/>
              <w:jc w:val="center"/>
            </w:pPr>
            <w:r/>
            <w:r>
              <w:rPr>
                <w:b/>
                <w:color w:val="FFFFFF"/>
                <w:sz w:val="16"/>
              </w:rPr>
              <w:t>Sem. entidad</w:t>
            </w:r>
          </w:p>
        </w:tc>
        <w:tc>
          <w:tcPr>
            <w:tcW w:type="dxa" w:w="2041"/>
            <w:shd w:val="clear" w:color="auto" w:fill="23395B"/>
          </w:tcPr>
          <w:p>
            <w:pPr>
              <w:keepNext w:val="0"/>
              <w:spacing w:after="20" w:before="20" w:line="240" w:lineRule="auto"/>
              <w:jc w:val="center"/>
            </w:pPr>
            <w:r/>
            <w:r>
              <w:rPr>
                <w:b/>
                <w:color w:val="FFFFFF"/>
                <w:sz w:val="16"/>
              </w:rPr>
              <w:t>Abstencionistas esperados</w:t>
            </w:r>
          </w:p>
        </w:tc>
      </w:tr>
      <w:tr>
        <w:trPr>
          <w:cantSplit w:val="true"/>
        </w:trPr>
        <w:tc>
          <w:tcPr>
            <w:tcW w:type="dxa" w:w="2211"/>
          </w:tcPr>
          <w:p>
            <w:pPr>
              <w:keepNext w:val="0"/>
              <w:spacing w:after="20" w:before="20" w:line="240" w:lineRule="auto"/>
              <w:jc w:val="left"/>
            </w:pPr>
            <w:r/>
            <w:r>
              <w:rPr>
                <w:sz w:val="16"/>
              </w:rPr>
              <w:t>Nuevo León</w:t>
            </w:r>
          </w:p>
        </w:tc>
        <w:tc>
          <w:tcPr>
            <w:tcW w:type="dxa" w:w="737"/>
          </w:tcPr>
          <w:p>
            <w:pPr>
              <w:keepNext w:val="0"/>
              <w:spacing w:after="20" w:before="20" w:line="240" w:lineRule="auto"/>
              <w:jc w:val="center"/>
            </w:pPr>
            <w:r/>
            <w:r>
              <w:rPr>
                <w:sz w:val="16"/>
              </w:rPr>
              <w:t>12</w:t>
            </w:r>
          </w:p>
        </w:tc>
        <w:tc>
          <w:tcPr>
            <w:tcW w:type="dxa" w:w="1247"/>
          </w:tcPr>
          <w:p>
            <w:pPr>
              <w:keepNext w:val="0"/>
              <w:spacing w:after="20" w:before="20" w:line="240" w:lineRule="auto"/>
              <w:jc w:val="center"/>
            </w:pPr>
            <w:r/>
            <w:r>
              <w:rPr>
                <w:sz w:val="16"/>
              </w:rPr>
              <w:t>53.35</w:t>
            </w:r>
          </w:p>
        </w:tc>
        <w:tc>
          <w:tcPr>
            <w:tcW w:type="dxa" w:w="1247"/>
          </w:tcPr>
          <w:p>
            <w:pPr>
              <w:keepNext w:val="0"/>
              <w:spacing w:after="20" w:before="20" w:line="240" w:lineRule="auto"/>
              <w:jc w:val="center"/>
            </w:pPr>
            <w:r/>
            <w:r>
              <w:rPr>
                <w:sz w:val="16"/>
              </w:rPr>
              <w:t>59.01</w:t>
            </w:r>
          </w:p>
        </w:tc>
        <w:tc>
          <w:tcPr>
            <w:tcW w:type="dxa" w:w="1361"/>
            <w:shd w:val="clear" w:color="auto" w:fill="FFE9A8"/>
          </w:tcPr>
          <w:p>
            <w:pPr>
              <w:keepNext w:val="0"/>
              <w:spacing w:after="20" w:before="20" w:line="240" w:lineRule="auto"/>
              <w:jc w:val="center"/>
            </w:pPr>
            <w:r/>
            <w:r>
              <w:rPr>
                <w:sz w:val="16"/>
              </w:rPr>
              <w:t>Amarillo</w:t>
            </w:r>
          </w:p>
        </w:tc>
        <w:tc>
          <w:tcPr>
            <w:tcW w:type="dxa" w:w="2041"/>
          </w:tcPr>
          <w:p>
            <w:pPr>
              <w:keepNext w:val="0"/>
              <w:spacing w:after="20" w:before="20" w:line="240" w:lineRule="auto"/>
              <w:jc w:val="center"/>
            </w:pPr>
            <w:r/>
            <w:r>
              <w:rPr>
                <w:sz w:val="16"/>
              </w:rPr>
              <w:t>178,775</w:t>
            </w:r>
          </w:p>
        </w:tc>
      </w:tr>
      <w:tr>
        <w:trPr>
          <w:cantSplit w:val="true"/>
        </w:trPr>
        <w:tc>
          <w:tcPr>
            <w:tcW w:type="dxa" w:w="2211"/>
            <w:shd w:val="clear" w:color="auto" w:fill="F2F5F8"/>
          </w:tcPr>
          <w:p>
            <w:pPr>
              <w:keepNext w:val="0"/>
              <w:spacing w:after="20" w:before="20" w:line="240" w:lineRule="auto"/>
              <w:jc w:val="left"/>
            </w:pPr>
            <w:r/>
            <w:r>
              <w:rPr>
                <w:sz w:val="16"/>
              </w:rPr>
              <w:t>Tamaulipas</w:t>
            </w:r>
          </w:p>
        </w:tc>
        <w:tc>
          <w:tcPr>
            <w:tcW w:type="dxa" w:w="737"/>
            <w:shd w:val="clear" w:color="auto" w:fill="F2F5F8"/>
          </w:tcPr>
          <w:p>
            <w:pPr>
              <w:keepNext w:val="0"/>
              <w:spacing w:after="20" w:before="20" w:line="240" w:lineRule="auto"/>
              <w:jc w:val="center"/>
            </w:pPr>
            <w:r/>
            <w:r>
              <w:rPr>
                <w:sz w:val="16"/>
              </w:rPr>
              <w:t>7</w:t>
            </w:r>
          </w:p>
        </w:tc>
        <w:tc>
          <w:tcPr>
            <w:tcW w:type="dxa" w:w="1247"/>
            <w:shd w:val="clear" w:color="auto" w:fill="F2F5F8"/>
          </w:tcPr>
          <w:p>
            <w:pPr>
              <w:keepNext w:val="0"/>
              <w:spacing w:after="20" w:before="20" w:line="240" w:lineRule="auto"/>
              <w:jc w:val="center"/>
            </w:pPr>
            <w:r/>
            <w:r>
              <w:rPr>
                <w:sz w:val="16"/>
              </w:rPr>
              <w:t>51.65</w:t>
            </w:r>
          </w:p>
        </w:tc>
        <w:tc>
          <w:tcPr>
            <w:tcW w:type="dxa" w:w="1247"/>
            <w:shd w:val="clear" w:color="auto" w:fill="F2F5F8"/>
          </w:tcPr>
          <w:p>
            <w:pPr>
              <w:keepNext w:val="0"/>
              <w:spacing w:after="20" w:before="20" w:line="240" w:lineRule="auto"/>
              <w:jc w:val="center"/>
            </w:pPr>
            <w:r/>
            <w:r>
              <w:rPr>
                <w:sz w:val="16"/>
              </w:rPr>
              <w:t>58.35</w:t>
            </w:r>
          </w:p>
        </w:tc>
        <w:tc>
          <w:tcPr>
            <w:tcW w:type="dxa" w:w="1361"/>
            <w:shd w:val="clear" w:color="auto" w:fill="FFE9A8"/>
          </w:tcPr>
          <w:p>
            <w:pPr>
              <w:keepNext w:val="0"/>
              <w:spacing w:after="20" w:before="20" w:line="240" w:lineRule="auto"/>
              <w:jc w:val="center"/>
            </w:pPr>
            <w:r/>
            <w:r>
              <w:rPr>
                <w:sz w:val="16"/>
              </w:rPr>
              <w:t>Amarillo</w:t>
            </w:r>
          </w:p>
        </w:tc>
        <w:tc>
          <w:tcPr>
            <w:tcW w:type="dxa" w:w="2041"/>
            <w:shd w:val="clear" w:color="auto" w:fill="F2F5F8"/>
          </w:tcPr>
          <w:p>
            <w:pPr>
              <w:keepNext w:val="0"/>
              <w:spacing w:after="20" w:before="20" w:line="240" w:lineRule="auto"/>
              <w:jc w:val="center"/>
            </w:pPr>
            <w:r/>
            <w:r>
              <w:rPr>
                <w:sz w:val="16"/>
              </w:rPr>
              <w:t>175,548</w:t>
            </w:r>
          </w:p>
        </w:tc>
      </w:tr>
      <w:tr>
        <w:trPr>
          <w:cantSplit w:val="true"/>
        </w:trPr>
        <w:tc>
          <w:tcPr>
            <w:tcW w:type="dxa" w:w="2211"/>
          </w:tcPr>
          <w:p>
            <w:pPr>
              <w:keepNext w:val="0"/>
              <w:spacing w:after="20" w:before="20" w:line="240" w:lineRule="auto"/>
              <w:jc w:val="left"/>
            </w:pPr>
            <w:r/>
            <w:r>
              <w:rPr>
                <w:sz w:val="16"/>
              </w:rPr>
              <w:t>Nuevo León</w:t>
            </w:r>
          </w:p>
        </w:tc>
        <w:tc>
          <w:tcPr>
            <w:tcW w:type="dxa" w:w="737"/>
          </w:tcPr>
          <w:p>
            <w:pPr>
              <w:keepNext w:val="0"/>
              <w:spacing w:after="20" w:before="20" w:line="240" w:lineRule="auto"/>
              <w:jc w:val="center"/>
            </w:pPr>
            <w:r/>
            <w:r>
              <w:rPr>
                <w:sz w:val="16"/>
              </w:rPr>
              <w:t>7</w:t>
            </w:r>
          </w:p>
        </w:tc>
        <w:tc>
          <w:tcPr>
            <w:tcW w:type="dxa" w:w="1247"/>
          </w:tcPr>
          <w:p>
            <w:pPr>
              <w:keepNext w:val="0"/>
              <w:spacing w:after="20" w:before="20" w:line="240" w:lineRule="auto"/>
              <w:jc w:val="center"/>
            </w:pPr>
            <w:r/>
            <w:r>
              <w:rPr>
                <w:sz w:val="16"/>
              </w:rPr>
              <w:t>52.38</w:t>
            </w:r>
          </w:p>
        </w:tc>
        <w:tc>
          <w:tcPr>
            <w:tcW w:type="dxa" w:w="1247"/>
          </w:tcPr>
          <w:p>
            <w:pPr>
              <w:keepNext w:val="0"/>
              <w:spacing w:after="20" w:before="20" w:line="240" w:lineRule="auto"/>
              <w:jc w:val="center"/>
            </w:pPr>
            <w:r/>
            <w:r>
              <w:rPr>
                <w:sz w:val="16"/>
              </w:rPr>
              <w:t>58.04</w:t>
            </w:r>
          </w:p>
        </w:tc>
        <w:tc>
          <w:tcPr>
            <w:tcW w:type="dxa" w:w="1361"/>
            <w:shd w:val="clear" w:color="auto" w:fill="FFE9A8"/>
          </w:tcPr>
          <w:p>
            <w:pPr>
              <w:keepNext w:val="0"/>
              <w:spacing w:after="20" w:before="20" w:line="240" w:lineRule="auto"/>
              <w:jc w:val="center"/>
            </w:pPr>
            <w:r/>
            <w:r>
              <w:rPr>
                <w:sz w:val="16"/>
              </w:rPr>
              <w:t>Amarillo</w:t>
            </w:r>
          </w:p>
        </w:tc>
        <w:tc>
          <w:tcPr>
            <w:tcW w:type="dxa" w:w="2041"/>
          </w:tcPr>
          <w:p>
            <w:pPr>
              <w:keepNext w:val="0"/>
              <w:spacing w:after="20" w:before="20" w:line="240" w:lineRule="auto"/>
              <w:jc w:val="center"/>
            </w:pPr>
            <w:r/>
            <w:r>
              <w:rPr>
                <w:sz w:val="16"/>
              </w:rPr>
              <w:t>143,899</w:t>
            </w:r>
          </w:p>
        </w:tc>
      </w:tr>
      <w:tr>
        <w:trPr>
          <w:cantSplit w:val="true"/>
        </w:trPr>
        <w:tc>
          <w:tcPr>
            <w:tcW w:type="dxa" w:w="2211"/>
            <w:shd w:val="clear" w:color="auto" w:fill="F2F5F8"/>
          </w:tcPr>
          <w:p>
            <w:pPr>
              <w:keepNext w:val="0"/>
              <w:spacing w:after="20" w:before="20" w:line="240" w:lineRule="auto"/>
              <w:jc w:val="left"/>
            </w:pPr>
            <w:r/>
            <w:r>
              <w:rPr>
                <w:sz w:val="16"/>
              </w:rPr>
              <w:t>Nuevo León</w:t>
            </w:r>
          </w:p>
        </w:tc>
        <w:tc>
          <w:tcPr>
            <w:tcW w:type="dxa" w:w="737"/>
            <w:shd w:val="clear" w:color="auto" w:fill="F2F5F8"/>
          </w:tcPr>
          <w:p>
            <w:pPr>
              <w:keepNext w:val="0"/>
              <w:spacing w:after="20" w:before="20" w:line="240" w:lineRule="auto"/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247"/>
            <w:shd w:val="clear" w:color="auto" w:fill="F2F5F8"/>
          </w:tcPr>
          <w:p>
            <w:pPr>
              <w:keepNext w:val="0"/>
              <w:spacing w:after="20" w:before="20" w:line="240" w:lineRule="auto"/>
              <w:jc w:val="center"/>
            </w:pPr>
            <w:r/>
            <w:r>
              <w:rPr>
                <w:sz w:val="16"/>
              </w:rPr>
              <w:t>52.35</w:t>
            </w:r>
          </w:p>
        </w:tc>
        <w:tc>
          <w:tcPr>
            <w:tcW w:type="dxa" w:w="1247"/>
            <w:shd w:val="clear" w:color="auto" w:fill="F2F5F8"/>
          </w:tcPr>
          <w:p>
            <w:pPr>
              <w:keepNext w:val="0"/>
              <w:spacing w:after="20" w:before="20" w:line="240" w:lineRule="auto"/>
              <w:jc w:val="center"/>
            </w:pPr>
            <w:r/>
            <w:r>
              <w:rPr>
                <w:sz w:val="16"/>
              </w:rPr>
              <w:t>58.01</w:t>
            </w:r>
          </w:p>
        </w:tc>
        <w:tc>
          <w:tcPr>
            <w:tcW w:type="dxa" w:w="1361"/>
            <w:shd w:val="clear" w:color="auto" w:fill="FFE9A8"/>
          </w:tcPr>
          <w:p>
            <w:pPr>
              <w:keepNext w:val="0"/>
              <w:spacing w:after="20" w:before="20" w:line="240" w:lineRule="auto"/>
              <w:jc w:val="center"/>
            </w:pPr>
            <w:r/>
            <w:r>
              <w:rPr>
                <w:sz w:val="16"/>
              </w:rPr>
              <w:t>Amarillo</w:t>
            </w:r>
          </w:p>
        </w:tc>
        <w:tc>
          <w:tcPr>
            <w:tcW w:type="dxa" w:w="2041"/>
            <w:shd w:val="clear" w:color="auto" w:fill="F2F5F8"/>
          </w:tcPr>
          <w:p>
            <w:pPr>
              <w:keepNext w:val="0"/>
              <w:spacing w:after="20" w:before="20" w:line="240" w:lineRule="auto"/>
              <w:jc w:val="center"/>
            </w:pPr>
            <w:r/>
            <w:r>
              <w:rPr>
                <w:sz w:val="16"/>
              </w:rPr>
              <w:t>196,140</w:t>
            </w:r>
          </w:p>
        </w:tc>
      </w:tr>
      <w:tr>
        <w:trPr>
          <w:cantSplit w:val="true"/>
        </w:trPr>
        <w:tc>
          <w:tcPr>
            <w:tcW w:type="dxa" w:w="2211"/>
          </w:tcPr>
          <w:p>
            <w:pPr>
              <w:keepNext w:val="0"/>
              <w:spacing w:after="20" w:before="20" w:line="240" w:lineRule="auto"/>
              <w:jc w:val="left"/>
            </w:pPr>
            <w:r/>
            <w:r>
              <w:rPr>
                <w:sz w:val="16"/>
              </w:rPr>
              <w:t>Tamaulipas</w:t>
            </w:r>
          </w:p>
        </w:tc>
        <w:tc>
          <w:tcPr>
            <w:tcW w:type="dxa" w:w="737"/>
          </w:tcPr>
          <w:p>
            <w:pPr>
              <w:keepNext w:val="0"/>
              <w:spacing w:after="20" w:before="20" w:line="240" w:lineRule="auto"/>
              <w:jc w:val="center"/>
            </w:pPr>
            <w:r/>
            <w:r>
              <w:rPr>
                <w:sz w:val="16"/>
              </w:rPr>
              <w:t>4</w:t>
            </w:r>
          </w:p>
        </w:tc>
        <w:tc>
          <w:tcPr>
            <w:tcW w:type="dxa" w:w="1247"/>
          </w:tcPr>
          <w:p>
            <w:pPr>
              <w:keepNext w:val="0"/>
              <w:spacing w:after="20" w:before="20" w:line="240" w:lineRule="auto"/>
              <w:jc w:val="center"/>
            </w:pPr>
            <w:r/>
            <w:r>
              <w:rPr>
                <w:sz w:val="16"/>
              </w:rPr>
              <w:t>50.84</w:t>
            </w:r>
          </w:p>
        </w:tc>
        <w:tc>
          <w:tcPr>
            <w:tcW w:type="dxa" w:w="1247"/>
          </w:tcPr>
          <w:p>
            <w:pPr>
              <w:keepNext w:val="0"/>
              <w:spacing w:after="20" w:before="20" w:line="240" w:lineRule="auto"/>
              <w:jc w:val="center"/>
            </w:pPr>
            <w:r/>
            <w:r>
              <w:rPr>
                <w:sz w:val="16"/>
              </w:rPr>
              <w:t>57.54</w:t>
            </w:r>
          </w:p>
        </w:tc>
        <w:tc>
          <w:tcPr>
            <w:tcW w:type="dxa" w:w="1361"/>
            <w:shd w:val="clear" w:color="auto" w:fill="FFE9A8"/>
          </w:tcPr>
          <w:p>
            <w:pPr>
              <w:keepNext w:val="0"/>
              <w:spacing w:after="20" w:before="20" w:line="240" w:lineRule="auto"/>
              <w:jc w:val="center"/>
            </w:pPr>
            <w:r/>
            <w:r>
              <w:rPr>
                <w:sz w:val="16"/>
              </w:rPr>
              <w:t>Amarillo</w:t>
            </w:r>
          </w:p>
        </w:tc>
        <w:tc>
          <w:tcPr>
            <w:tcW w:type="dxa" w:w="2041"/>
          </w:tcPr>
          <w:p>
            <w:pPr>
              <w:keepNext w:val="0"/>
              <w:spacing w:after="20" w:before="20" w:line="240" w:lineRule="auto"/>
              <w:jc w:val="center"/>
            </w:pPr>
            <w:r/>
            <w:r>
              <w:rPr>
                <w:sz w:val="16"/>
              </w:rPr>
              <w:t>206,152</w:t>
            </w:r>
          </w:p>
        </w:tc>
      </w:tr>
      <w:tr>
        <w:trPr>
          <w:cantSplit w:val="true"/>
        </w:trPr>
        <w:tc>
          <w:tcPr>
            <w:tcW w:type="dxa" w:w="2211"/>
            <w:shd w:val="clear" w:color="auto" w:fill="F2F5F8"/>
          </w:tcPr>
          <w:p>
            <w:pPr>
              <w:keepNext w:val="0"/>
              <w:spacing w:after="20" w:before="20" w:line="240" w:lineRule="auto"/>
              <w:jc w:val="left"/>
            </w:pPr>
            <w:r/>
            <w:r>
              <w:rPr>
                <w:sz w:val="16"/>
              </w:rPr>
              <w:t>Nuevo León</w:t>
            </w:r>
          </w:p>
        </w:tc>
        <w:tc>
          <w:tcPr>
            <w:tcW w:type="dxa" w:w="737"/>
            <w:shd w:val="clear" w:color="auto" w:fill="F2F5F8"/>
          </w:tcPr>
          <w:p>
            <w:pPr>
              <w:keepNext w:val="0"/>
              <w:spacing w:after="20" w:before="20" w:line="240" w:lineRule="auto"/>
              <w:jc w:val="center"/>
            </w:pPr>
            <w:r/>
            <w:r>
              <w:rPr>
                <w:sz w:val="16"/>
              </w:rPr>
              <w:t>14</w:t>
            </w:r>
          </w:p>
        </w:tc>
        <w:tc>
          <w:tcPr>
            <w:tcW w:type="dxa" w:w="1247"/>
            <w:shd w:val="clear" w:color="auto" w:fill="F2F5F8"/>
          </w:tcPr>
          <w:p>
            <w:pPr>
              <w:keepNext w:val="0"/>
              <w:spacing w:after="20" w:before="20" w:line="240" w:lineRule="auto"/>
              <w:jc w:val="center"/>
            </w:pPr>
            <w:r/>
            <w:r>
              <w:rPr>
                <w:sz w:val="16"/>
              </w:rPr>
              <w:t>51.65</w:t>
            </w:r>
          </w:p>
        </w:tc>
        <w:tc>
          <w:tcPr>
            <w:tcW w:type="dxa" w:w="1247"/>
            <w:shd w:val="clear" w:color="auto" w:fill="F2F5F8"/>
          </w:tcPr>
          <w:p>
            <w:pPr>
              <w:keepNext w:val="0"/>
              <w:spacing w:after="20" w:before="20" w:line="240" w:lineRule="auto"/>
              <w:jc w:val="center"/>
            </w:pPr>
            <w:r/>
            <w:r>
              <w:rPr>
                <w:sz w:val="16"/>
              </w:rPr>
              <w:t>57.31</w:t>
            </w:r>
          </w:p>
        </w:tc>
        <w:tc>
          <w:tcPr>
            <w:tcW w:type="dxa" w:w="1361"/>
            <w:shd w:val="clear" w:color="auto" w:fill="FFE9A8"/>
          </w:tcPr>
          <w:p>
            <w:pPr>
              <w:keepNext w:val="0"/>
              <w:spacing w:after="20" w:before="20" w:line="240" w:lineRule="auto"/>
              <w:jc w:val="center"/>
            </w:pPr>
            <w:r/>
            <w:r>
              <w:rPr>
                <w:sz w:val="16"/>
              </w:rPr>
              <w:t>Amarillo</w:t>
            </w:r>
          </w:p>
        </w:tc>
        <w:tc>
          <w:tcPr>
            <w:tcW w:type="dxa" w:w="2041"/>
            <w:shd w:val="clear" w:color="auto" w:fill="F2F5F8"/>
          </w:tcPr>
          <w:p>
            <w:pPr>
              <w:keepNext w:val="0"/>
              <w:spacing w:after="20" w:before="20" w:line="240" w:lineRule="auto"/>
              <w:jc w:val="center"/>
            </w:pPr>
            <w:r/>
            <w:r>
              <w:rPr>
                <w:sz w:val="16"/>
              </w:rPr>
              <w:t>170,261</w:t>
            </w:r>
          </w:p>
        </w:tc>
      </w:tr>
      <w:tr>
        <w:trPr>
          <w:cantSplit w:val="true"/>
        </w:trPr>
        <w:tc>
          <w:tcPr>
            <w:tcW w:type="dxa" w:w="2211"/>
          </w:tcPr>
          <w:p>
            <w:pPr>
              <w:keepNext w:val="0"/>
              <w:spacing w:after="20" w:before="20" w:line="240" w:lineRule="auto"/>
              <w:jc w:val="left"/>
            </w:pPr>
            <w:r/>
            <w:r>
              <w:rPr>
                <w:sz w:val="16"/>
              </w:rPr>
              <w:t>Chiapas</w:t>
            </w:r>
          </w:p>
        </w:tc>
        <w:tc>
          <w:tcPr>
            <w:tcW w:type="dxa" w:w="737"/>
          </w:tcPr>
          <w:p>
            <w:pPr>
              <w:keepNext w:val="0"/>
              <w:spacing w:after="20" w:before="20" w:line="240" w:lineRule="auto"/>
              <w:jc w:val="center"/>
            </w:pPr>
            <w:r/>
            <w:r>
              <w:rPr>
                <w:sz w:val="16"/>
              </w:rPr>
              <w:t>9</w:t>
            </w:r>
          </w:p>
        </w:tc>
        <w:tc>
          <w:tcPr>
            <w:tcW w:type="dxa" w:w="1247"/>
          </w:tcPr>
          <w:p>
            <w:pPr>
              <w:keepNext w:val="0"/>
              <w:spacing w:after="20" w:before="20" w:line="240" w:lineRule="auto"/>
              <w:jc w:val="center"/>
            </w:pPr>
            <w:r/>
            <w:r>
              <w:rPr>
                <w:sz w:val="16"/>
              </w:rPr>
              <w:t>50.28</w:t>
            </w:r>
          </w:p>
        </w:tc>
        <w:tc>
          <w:tcPr>
            <w:tcW w:type="dxa" w:w="1247"/>
          </w:tcPr>
          <w:p>
            <w:pPr>
              <w:keepNext w:val="0"/>
              <w:spacing w:after="20" w:before="20" w:line="240" w:lineRule="auto"/>
              <w:jc w:val="center"/>
            </w:pPr>
            <w:r/>
            <w:r>
              <w:rPr>
                <w:sz w:val="16"/>
              </w:rPr>
              <w:t>57.13</w:t>
            </w:r>
          </w:p>
        </w:tc>
        <w:tc>
          <w:tcPr>
            <w:tcW w:type="dxa" w:w="1361"/>
            <w:shd w:val="clear" w:color="auto" w:fill="BFE3C6"/>
          </w:tcPr>
          <w:p>
            <w:pPr>
              <w:keepNext w:val="0"/>
              <w:spacing w:after="20" w:before="20" w:line="240" w:lineRule="auto"/>
              <w:jc w:val="center"/>
            </w:pPr>
            <w:r/>
            <w:r>
              <w:rPr>
                <w:sz w:val="16"/>
              </w:rPr>
              <w:t>Verde</w:t>
            </w:r>
          </w:p>
        </w:tc>
        <w:tc>
          <w:tcPr>
            <w:tcW w:type="dxa" w:w="2041"/>
          </w:tcPr>
          <w:p>
            <w:pPr>
              <w:keepNext w:val="0"/>
              <w:spacing w:after="20" w:before="20" w:line="240" w:lineRule="auto"/>
              <w:jc w:val="center"/>
            </w:pPr>
            <w:r/>
            <w:r>
              <w:rPr>
                <w:sz w:val="16"/>
              </w:rPr>
              <w:t>193,982</w:t>
            </w:r>
          </w:p>
        </w:tc>
      </w:tr>
      <w:tr>
        <w:trPr>
          <w:cantSplit w:val="true"/>
        </w:trPr>
        <w:tc>
          <w:tcPr>
            <w:tcW w:type="dxa" w:w="2211"/>
            <w:shd w:val="clear" w:color="auto" w:fill="F2F5F8"/>
          </w:tcPr>
          <w:p>
            <w:pPr>
              <w:keepNext w:val="0"/>
              <w:spacing w:after="20" w:before="20" w:line="240" w:lineRule="auto"/>
              <w:jc w:val="left"/>
            </w:pPr>
            <w:r/>
            <w:r>
              <w:rPr>
                <w:sz w:val="16"/>
              </w:rPr>
              <w:t>Tamaulipas</w:t>
            </w:r>
          </w:p>
        </w:tc>
        <w:tc>
          <w:tcPr>
            <w:tcW w:type="dxa" w:w="737"/>
            <w:shd w:val="clear" w:color="auto" w:fill="F2F5F8"/>
          </w:tcPr>
          <w:p>
            <w:pPr>
              <w:keepNext w:val="0"/>
              <w:spacing w:after="20" w:before="20" w:line="240" w:lineRule="auto"/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247"/>
            <w:shd w:val="clear" w:color="auto" w:fill="F2F5F8"/>
          </w:tcPr>
          <w:p>
            <w:pPr>
              <w:keepNext w:val="0"/>
              <w:spacing w:after="20" w:before="20" w:line="240" w:lineRule="auto"/>
              <w:jc w:val="center"/>
            </w:pPr>
            <w:r/>
            <w:r>
              <w:rPr>
                <w:sz w:val="16"/>
              </w:rPr>
              <w:t>50.27</w:t>
            </w:r>
          </w:p>
        </w:tc>
        <w:tc>
          <w:tcPr>
            <w:tcW w:type="dxa" w:w="1247"/>
            <w:shd w:val="clear" w:color="auto" w:fill="F2F5F8"/>
          </w:tcPr>
          <w:p>
            <w:pPr>
              <w:keepNext w:val="0"/>
              <w:spacing w:after="20" w:before="20" w:line="240" w:lineRule="auto"/>
              <w:jc w:val="center"/>
            </w:pPr>
            <w:r/>
            <w:r>
              <w:rPr>
                <w:sz w:val="16"/>
              </w:rPr>
              <w:t>56.97</w:t>
            </w:r>
          </w:p>
        </w:tc>
        <w:tc>
          <w:tcPr>
            <w:tcW w:type="dxa" w:w="1361"/>
            <w:shd w:val="clear" w:color="auto" w:fill="FFE9A8"/>
          </w:tcPr>
          <w:p>
            <w:pPr>
              <w:keepNext w:val="0"/>
              <w:spacing w:after="20" w:before="20" w:line="240" w:lineRule="auto"/>
              <w:jc w:val="center"/>
            </w:pPr>
            <w:r/>
            <w:r>
              <w:rPr>
                <w:sz w:val="16"/>
              </w:rPr>
              <w:t>Amarillo</w:t>
            </w:r>
          </w:p>
        </w:tc>
        <w:tc>
          <w:tcPr>
            <w:tcW w:type="dxa" w:w="2041"/>
            <w:shd w:val="clear" w:color="auto" w:fill="F2F5F8"/>
          </w:tcPr>
          <w:p>
            <w:pPr>
              <w:keepNext w:val="0"/>
              <w:spacing w:after="20" w:before="20" w:line="240" w:lineRule="auto"/>
              <w:jc w:val="center"/>
            </w:pPr>
            <w:r/>
            <w:r>
              <w:rPr>
                <w:sz w:val="16"/>
              </w:rPr>
              <w:t>191,279</w:t>
            </w:r>
          </w:p>
        </w:tc>
      </w:tr>
      <w:tr>
        <w:trPr>
          <w:cantSplit w:val="true"/>
        </w:trPr>
        <w:tc>
          <w:tcPr>
            <w:tcW w:type="dxa" w:w="2211"/>
          </w:tcPr>
          <w:p>
            <w:pPr>
              <w:keepNext w:val="0"/>
              <w:spacing w:after="20" w:before="20" w:line="240" w:lineRule="auto"/>
              <w:jc w:val="left"/>
            </w:pPr>
            <w:r/>
            <w:r>
              <w:rPr>
                <w:sz w:val="16"/>
              </w:rPr>
              <w:t>México</w:t>
            </w:r>
          </w:p>
        </w:tc>
        <w:tc>
          <w:tcPr>
            <w:tcW w:type="dxa" w:w="737"/>
          </w:tcPr>
          <w:p>
            <w:pPr>
              <w:keepNext w:val="0"/>
              <w:spacing w:after="20" w:before="20" w:line="240" w:lineRule="auto"/>
              <w:jc w:val="center"/>
            </w:pPr>
            <w:r/>
            <w:r>
              <w:rPr>
                <w:sz w:val="16"/>
              </w:rPr>
              <w:t>25</w:t>
            </w:r>
          </w:p>
        </w:tc>
        <w:tc>
          <w:tcPr>
            <w:tcW w:type="dxa" w:w="1247"/>
          </w:tcPr>
          <w:p>
            <w:pPr>
              <w:keepNext w:val="0"/>
              <w:spacing w:after="20" w:before="20" w:line="240" w:lineRule="auto"/>
              <w:jc w:val="center"/>
            </w:pPr>
            <w:r/>
            <w:r>
              <w:rPr>
                <w:sz w:val="16"/>
              </w:rPr>
              <w:t>46.72</w:t>
            </w:r>
          </w:p>
        </w:tc>
        <w:tc>
          <w:tcPr>
            <w:tcW w:type="dxa" w:w="1247"/>
          </w:tcPr>
          <w:p>
            <w:pPr>
              <w:keepNext w:val="0"/>
              <w:spacing w:after="20" w:before="20" w:line="240" w:lineRule="auto"/>
              <w:jc w:val="center"/>
            </w:pPr>
            <w:r/>
            <w:r>
              <w:rPr>
                <w:sz w:val="16"/>
              </w:rPr>
              <w:t>56.62</w:t>
            </w:r>
          </w:p>
        </w:tc>
        <w:tc>
          <w:tcPr>
            <w:tcW w:type="dxa" w:w="1361"/>
            <w:shd w:val="clear" w:color="auto" w:fill="FFE9A8"/>
          </w:tcPr>
          <w:p>
            <w:pPr>
              <w:keepNext w:val="0"/>
              <w:spacing w:after="20" w:before="20" w:line="240" w:lineRule="auto"/>
              <w:jc w:val="center"/>
            </w:pPr>
            <w:r/>
            <w:r>
              <w:rPr>
                <w:sz w:val="16"/>
              </w:rPr>
              <w:t>Amarillo</w:t>
            </w:r>
          </w:p>
        </w:tc>
        <w:tc>
          <w:tcPr>
            <w:tcW w:type="dxa" w:w="2041"/>
          </w:tcPr>
          <w:p>
            <w:pPr>
              <w:keepNext w:val="0"/>
              <w:spacing w:after="20" w:before="20" w:line="240" w:lineRule="auto"/>
              <w:jc w:val="center"/>
            </w:pPr>
            <w:r/>
            <w:r>
              <w:rPr>
                <w:sz w:val="16"/>
              </w:rPr>
              <w:t>170,820</w:t>
            </w:r>
          </w:p>
        </w:tc>
      </w:tr>
      <w:tr>
        <w:trPr>
          <w:cantSplit w:val="true"/>
        </w:trPr>
        <w:tc>
          <w:tcPr>
            <w:tcW w:type="dxa" w:w="2211"/>
            <w:shd w:val="clear" w:color="auto" w:fill="F2F5F8"/>
          </w:tcPr>
          <w:p>
            <w:pPr>
              <w:keepNext w:val="0"/>
              <w:spacing w:after="20" w:before="20" w:line="240" w:lineRule="auto"/>
              <w:jc w:val="left"/>
            </w:pPr>
            <w:r/>
            <w:r>
              <w:rPr>
                <w:sz w:val="16"/>
              </w:rPr>
              <w:t>Oaxaca</w:t>
            </w:r>
          </w:p>
        </w:tc>
        <w:tc>
          <w:tcPr>
            <w:tcW w:type="dxa" w:w="737"/>
            <w:shd w:val="clear" w:color="auto" w:fill="F2F5F8"/>
          </w:tcPr>
          <w:p>
            <w:pPr>
              <w:keepNext w:val="0"/>
              <w:spacing w:after="20" w:before="20" w:line="240" w:lineRule="auto"/>
              <w:jc w:val="center"/>
            </w:pPr>
            <w:r/>
            <w:r>
              <w:rPr>
                <w:sz w:val="16"/>
              </w:rPr>
              <w:t>4</w:t>
            </w:r>
          </w:p>
        </w:tc>
        <w:tc>
          <w:tcPr>
            <w:tcW w:type="dxa" w:w="1247"/>
            <w:shd w:val="clear" w:color="auto" w:fill="F2F5F8"/>
          </w:tcPr>
          <w:p>
            <w:pPr>
              <w:keepNext w:val="0"/>
              <w:spacing w:after="20" w:before="20" w:line="240" w:lineRule="auto"/>
              <w:jc w:val="center"/>
            </w:pPr>
            <w:r/>
            <w:r>
              <w:rPr>
                <w:sz w:val="16"/>
              </w:rPr>
              <w:t>49.20</w:t>
            </w:r>
          </w:p>
        </w:tc>
        <w:tc>
          <w:tcPr>
            <w:tcW w:type="dxa" w:w="1247"/>
            <w:shd w:val="clear" w:color="auto" w:fill="F2F5F8"/>
          </w:tcPr>
          <w:p>
            <w:pPr>
              <w:keepNext w:val="0"/>
              <w:spacing w:after="20" w:before="20" w:line="240" w:lineRule="auto"/>
              <w:jc w:val="center"/>
            </w:pPr>
            <w:r/>
            <w:r>
              <w:rPr>
                <w:sz w:val="16"/>
              </w:rPr>
              <w:t>55.42</w:t>
            </w:r>
          </w:p>
        </w:tc>
        <w:tc>
          <w:tcPr>
            <w:tcW w:type="dxa" w:w="1361"/>
            <w:shd w:val="clear" w:color="auto" w:fill="FFE9A8"/>
          </w:tcPr>
          <w:p>
            <w:pPr>
              <w:keepNext w:val="0"/>
              <w:spacing w:after="20" w:before="20" w:line="240" w:lineRule="auto"/>
              <w:jc w:val="center"/>
            </w:pPr>
            <w:r/>
            <w:r>
              <w:rPr>
                <w:sz w:val="16"/>
              </w:rPr>
              <w:t>Amarillo</w:t>
            </w:r>
          </w:p>
        </w:tc>
        <w:tc>
          <w:tcPr>
            <w:tcW w:type="dxa" w:w="2041"/>
            <w:shd w:val="clear" w:color="auto" w:fill="F2F5F8"/>
          </w:tcPr>
          <w:p>
            <w:pPr>
              <w:keepNext w:val="0"/>
              <w:spacing w:after="20" w:before="20" w:line="240" w:lineRule="auto"/>
              <w:jc w:val="center"/>
            </w:pPr>
            <w:r/>
            <w:r>
              <w:rPr>
                <w:sz w:val="16"/>
              </w:rPr>
              <w:t>190,021</w:t>
            </w:r>
          </w:p>
        </w:tc>
      </w:tr>
      <w:tr>
        <w:trPr>
          <w:cantSplit w:val="true"/>
        </w:trPr>
        <w:tc>
          <w:tcPr>
            <w:tcW w:type="dxa" w:w="2211"/>
          </w:tcPr>
          <w:p>
            <w:pPr>
              <w:keepNext w:val="0"/>
              <w:spacing w:after="20" w:before="20" w:line="240" w:lineRule="auto"/>
              <w:jc w:val="left"/>
            </w:pPr>
            <w:r/>
            <w:r>
              <w:rPr>
                <w:sz w:val="16"/>
              </w:rPr>
              <w:t>México</w:t>
            </w:r>
          </w:p>
        </w:tc>
        <w:tc>
          <w:tcPr>
            <w:tcW w:type="dxa" w:w="737"/>
          </w:tcPr>
          <w:p>
            <w:pPr>
              <w:keepNext w:val="0"/>
              <w:spacing w:after="20" w:before="20" w:line="240" w:lineRule="auto"/>
              <w:jc w:val="center"/>
            </w:pPr>
            <w:r/>
            <w:r>
              <w:rPr>
                <w:sz w:val="16"/>
              </w:rPr>
              <w:t>30</w:t>
            </w:r>
          </w:p>
        </w:tc>
        <w:tc>
          <w:tcPr>
            <w:tcW w:type="dxa" w:w="1247"/>
          </w:tcPr>
          <w:p>
            <w:pPr>
              <w:keepNext w:val="0"/>
              <w:spacing w:after="20" w:before="20" w:line="240" w:lineRule="auto"/>
              <w:jc w:val="center"/>
            </w:pPr>
            <w:r/>
            <w:r>
              <w:rPr>
                <w:sz w:val="16"/>
              </w:rPr>
              <w:t>44.95</w:t>
            </w:r>
          </w:p>
        </w:tc>
        <w:tc>
          <w:tcPr>
            <w:tcW w:type="dxa" w:w="1247"/>
          </w:tcPr>
          <w:p>
            <w:pPr>
              <w:keepNext w:val="0"/>
              <w:spacing w:after="20" w:before="20" w:line="240" w:lineRule="auto"/>
              <w:jc w:val="center"/>
            </w:pPr>
            <w:r/>
            <w:r>
              <w:rPr>
                <w:sz w:val="16"/>
              </w:rPr>
              <w:t>54.85</w:t>
            </w:r>
          </w:p>
        </w:tc>
        <w:tc>
          <w:tcPr>
            <w:tcW w:type="dxa" w:w="1361"/>
            <w:shd w:val="clear" w:color="auto" w:fill="FFE9A8"/>
          </w:tcPr>
          <w:p>
            <w:pPr>
              <w:keepNext w:val="0"/>
              <w:spacing w:after="20" w:before="20" w:line="240" w:lineRule="auto"/>
              <w:jc w:val="center"/>
            </w:pPr>
            <w:r/>
            <w:r>
              <w:rPr>
                <w:sz w:val="16"/>
              </w:rPr>
              <w:t>Amarillo</w:t>
            </w:r>
          </w:p>
        </w:tc>
        <w:tc>
          <w:tcPr>
            <w:tcW w:type="dxa" w:w="2041"/>
          </w:tcPr>
          <w:p>
            <w:pPr>
              <w:keepNext w:val="0"/>
              <w:spacing w:after="20" w:before="20" w:line="240" w:lineRule="auto"/>
              <w:jc w:val="center"/>
            </w:pPr>
            <w:r/>
            <w:r>
              <w:rPr>
                <w:sz w:val="16"/>
              </w:rPr>
              <w:t>156,426</w:t>
            </w:r>
          </w:p>
        </w:tc>
      </w:tr>
      <w:tr>
        <w:trPr>
          <w:cantSplit w:val="true"/>
        </w:trPr>
        <w:tc>
          <w:tcPr>
            <w:tcW w:type="dxa" w:w="2211"/>
            <w:shd w:val="clear" w:color="auto" w:fill="F2F5F8"/>
          </w:tcPr>
          <w:p>
            <w:pPr>
              <w:keepNext w:val="0"/>
              <w:spacing w:after="20" w:before="20" w:line="240" w:lineRule="auto"/>
              <w:jc w:val="left"/>
            </w:pPr>
            <w:r/>
            <w:r>
              <w:rPr>
                <w:sz w:val="16"/>
              </w:rPr>
              <w:t>Nuevo León</w:t>
            </w:r>
          </w:p>
        </w:tc>
        <w:tc>
          <w:tcPr>
            <w:tcW w:type="dxa" w:w="737"/>
            <w:shd w:val="clear" w:color="auto" w:fill="F2F5F8"/>
          </w:tcPr>
          <w:p>
            <w:pPr>
              <w:keepNext w:val="0"/>
              <w:spacing w:after="20" w:before="20" w:line="240" w:lineRule="auto"/>
              <w:jc w:val="center"/>
            </w:pPr>
            <w:r/>
            <w:r>
              <w:rPr>
                <w:sz w:val="16"/>
              </w:rPr>
              <w:t>5</w:t>
            </w:r>
          </w:p>
        </w:tc>
        <w:tc>
          <w:tcPr>
            <w:tcW w:type="dxa" w:w="1247"/>
            <w:shd w:val="clear" w:color="auto" w:fill="F2F5F8"/>
          </w:tcPr>
          <w:p>
            <w:pPr>
              <w:keepNext w:val="0"/>
              <w:spacing w:after="20" w:before="20" w:line="240" w:lineRule="auto"/>
              <w:jc w:val="center"/>
            </w:pPr>
            <w:r/>
            <w:r>
              <w:rPr>
                <w:sz w:val="16"/>
              </w:rPr>
              <w:t>49.12</w:t>
            </w:r>
          </w:p>
        </w:tc>
        <w:tc>
          <w:tcPr>
            <w:tcW w:type="dxa" w:w="1247"/>
            <w:shd w:val="clear" w:color="auto" w:fill="F2F5F8"/>
          </w:tcPr>
          <w:p>
            <w:pPr>
              <w:keepNext w:val="0"/>
              <w:spacing w:after="20" w:before="20" w:line="240" w:lineRule="auto"/>
              <w:jc w:val="center"/>
            </w:pPr>
            <w:r/>
            <w:r>
              <w:rPr>
                <w:sz w:val="16"/>
              </w:rPr>
              <w:t>54.78</w:t>
            </w:r>
          </w:p>
        </w:tc>
        <w:tc>
          <w:tcPr>
            <w:tcW w:type="dxa" w:w="1361"/>
            <w:shd w:val="clear" w:color="auto" w:fill="FFE9A8"/>
          </w:tcPr>
          <w:p>
            <w:pPr>
              <w:keepNext w:val="0"/>
              <w:spacing w:after="20" w:before="20" w:line="240" w:lineRule="auto"/>
              <w:jc w:val="center"/>
            </w:pPr>
            <w:r/>
            <w:r>
              <w:rPr>
                <w:sz w:val="16"/>
              </w:rPr>
              <w:t>Amarillo</w:t>
            </w:r>
          </w:p>
        </w:tc>
        <w:tc>
          <w:tcPr>
            <w:tcW w:type="dxa" w:w="2041"/>
            <w:shd w:val="clear" w:color="auto" w:fill="F2F5F8"/>
          </w:tcPr>
          <w:p>
            <w:pPr>
              <w:keepNext w:val="0"/>
              <w:spacing w:after="20" w:before="20" w:line="240" w:lineRule="auto"/>
              <w:jc w:val="center"/>
            </w:pPr>
            <w:r/>
            <w:r>
              <w:rPr>
                <w:sz w:val="16"/>
              </w:rPr>
              <w:t>176,569</w:t>
            </w:r>
          </w:p>
        </w:tc>
      </w:tr>
      <w:tr>
        <w:trPr>
          <w:cantSplit w:val="true"/>
        </w:trPr>
        <w:tc>
          <w:tcPr>
            <w:tcW w:type="dxa" w:w="2211"/>
          </w:tcPr>
          <w:p>
            <w:pPr>
              <w:keepNext w:val="0"/>
              <w:spacing w:after="20" w:before="20" w:line="240" w:lineRule="auto"/>
              <w:jc w:val="left"/>
            </w:pPr>
            <w:r/>
            <w:r>
              <w:rPr>
                <w:sz w:val="16"/>
              </w:rPr>
              <w:t>Hidalgo</w:t>
            </w:r>
          </w:p>
        </w:tc>
        <w:tc>
          <w:tcPr>
            <w:tcW w:type="dxa" w:w="737"/>
          </w:tcPr>
          <w:p>
            <w:pPr>
              <w:keepNext w:val="0"/>
              <w:spacing w:after="20" w:before="20" w:line="240" w:lineRule="auto"/>
              <w:jc w:val="center"/>
            </w:pPr>
            <w:r/>
            <w:r>
              <w:rPr>
                <w:sz w:val="16"/>
              </w:rPr>
              <w:t>4</w:t>
            </w:r>
          </w:p>
        </w:tc>
        <w:tc>
          <w:tcPr>
            <w:tcW w:type="dxa" w:w="1247"/>
          </w:tcPr>
          <w:p>
            <w:pPr>
              <w:keepNext w:val="0"/>
              <w:spacing w:after="20" w:before="20" w:line="240" w:lineRule="auto"/>
              <w:jc w:val="center"/>
            </w:pPr>
            <w:r/>
            <w:r>
              <w:rPr>
                <w:sz w:val="16"/>
              </w:rPr>
              <w:t>41.05</w:t>
            </w:r>
          </w:p>
        </w:tc>
        <w:tc>
          <w:tcPr>
            <w:tcW w:type="dxa" w:w="1247"/>
          </w:tcPr>
          <w:p>
            <w:pPr>
              <w:keepNext w:val="0"/>
              <w:spacing w:after="20" w:before="20" w:line="240" w:lineRule="auto"/>
              <w:jc w:val="center"/>
            </w:pPr>
            <w:r/>
            <w:r>
              <w:rPr>
                <w:sz w:val="16"/>
              </w:rPr>
              <w:t>54.56</w:t>
            </w:r>
          </w:p>
        </w:tc>
        <w:tc>
          <w:tcPr>
            <w:tcW w:type="dxa" w:w="1361"/>
            <w:shd w:val="clear" w:color="auto" w:fill="FFE9A8"/>
          </w:tcPr>
          <w:p>
            <w:pPr>
              <w:keepNext w:val="0"/>
              <w:spacing w:after="20" w:before="20" w:line="240" w:lineRule="auto"/>
              <w:jc w:val="center"/>
            </w:pPr>
            <w:r/>
            <w:r>
              <w:rPr>
                <w:sz w:val="16"/>
              </w:rPr>
              <w:t>Amarillo</w:t>
            </w:r>
          </w:p>
        </w:tc>
        <w:tc>
          <w:tcPr>
            <w:tcW w:type="dxa" w:w="2041"/>
          </w:tcPr>
          <w:p>
            <w:pPr>
              <w:keepNext w:val="0"/>
              <w:spacing w:after="20" w:before="20" w:line="240" w:lineRule="auto"/>
              <w:jc w:val="center"/>
            </w:pPr>
            <w:r/>
            <w:r>
              <w:rPr>
                <w:sz w:val="16"/>
              </w:rPr>
              <w:t>178,597</w:t>
            </w:r>
          </w:p>
        </w:tc>
      </w:tr>
      <w:tr>
        <w:trPr>
          <w:cantSplit w:val="true"/>
        </w:trPr>
        <w:tc>
          <w:tcPr>
            <w:tcW w:type="dxa" w:w="2211"/>
            <w:shd w:val="clear" w:color="auto" w:fill="F2F5F8"/>
          </w:tcPr>
          <w:p>
            <w:pPr>
              <w:keepNext w:val="0"/>
              <w:spacing w:after="20" w:before="20" w:line="240" w:lineRule="auto"/>
              <w:jc w:val="left"/>
            </w:pPr>
            <w:r/>
            <w:r>
              <w:rPr>
                <w:sz w:val="16"/>
              </w:rPr>
              <w:t>Sinaloa</w:t>
            </w:r>
          </w:p>
        </w:tc>
        <w:tc>
          <w:tcPr>
            <w:tcW w:type="dxa" w:w="737"/>
            <w:shd w:val="clear" w:color="auto" w:fill="F2F5F8"/>
          </w:tcPr>
          <w:p>
            <w:pPr>
              <w:keepNext w:val="0"/>
              <w:spacing w:after="20" w:before="20" w:line="240" w:lineRule="auto"/>
              <w:jc w:val="center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1247"/>
            <w:shd w:val="clear" w:color="auto" w:fill="F2F5F8"/>
          </w:tcPr>
          <w:p>
            <w:pPr>
              <w:keepNext w:val="0"/>
              <w:spacing w:after="20" w:before="20" w:line="240" w:lineRule="auto"/>
              <w:jc w:val="center"/>
            </w:pPr>
            <w:r/>
            <w:r>
              <w:rPr>
                <w:sz w:val="16"/>
              </w:rPr>
              <w:t>48.92</w:t>
            </w:r>
          </w:p>
        </w:tc>
        <w:tc>
          <w:tcPr>
            <w:tcW w:type="dxa" w:w="1247"/>
            <w:shd w:val="clear" w:color="auto" w:fill="F2F5F8"/>
          </w:tcPr>
          <w:p>
            <w:pPr>
              <w:keepNext w:val="0"/>
              <w:spacing w:after="20" w:before="20" w:line="240" w:lineRule="auto"/>
              <w:jc w:val="center"/>
            </w:pPr>
            <w:r/>
            <w:r>
              <w:rPr>
                <w:sz w:val="16"/>
              </w:rPr>
              <w:t>54.55</w:t>
            </w:r>
          </w:p>
        </w:tc>
        <w:tc>
          <w:tcPr>
            <w:tcW w:type="dxa" w:w="1361"/>
            <w:shd w:val="clear" w:color="auto" w:fill="FFE9A8"/>
          </w:tcPr>
          <w:p>
            <w:pPr>
              <w:keepNext w:val="0"/>
              <w:spacing w:after="20" w:before="20" w:line="240" w:lineRule="auto"/>
              <w:jc w:val="center"/>
            </w:pPr>
            <w:r/>
            <w:r>
              <w:rPr>
                <w:sz w:val="16"/>
              </w:rPr>
              <w:t>Amarillo</w:t>
            </w:r>
          </w:p>
        </w:tc>
        <w:tc>
          <w:tcPr>
            <w:tcW w:type="dxa" w:w="2041"/>
            <w:shd w:val="clear" w:color="auto" w:fill="F2F5F8"/>
          </w:tcPr>
          <w:p>
            <w:pPr>
              <w:keepNext w:val="0"/>
              <w:spacing w:after="20" w:before="20" w:line="240" w:lineRule="auto"/>
              <w:jc w:val="center"/>
            </w:pPr>
            <w:r/>
            <w:r>
              <w:rPr>
                <w:sz w:val="16"/>
              </w:rPr>
              <w:t>177,402</w:t>
            </w:r>
          </w:p>
        </w:tc>
      </w:tr>
      <w:tr>
        <w:trPr>
          <w:cantSplit w:val="true"/>
        </w:trPr>
        <w:tc>
          <w:tcPr>
            <w:tcW w:type="dxa" w:w="2211"/>
          </w:tcPr>
          <w:p>
            <w:pPr>
              <w:keepNext w:val="0"/>
              <w:spacing w:after="20" w:before="20" w:line="240" w:lineRule="auto"/>
              <w:jc w:val="left"/>
            </w:pPr>
            <w:r/>
            <w:r>
              <w:rPr>
                <w:sz w:val="16"/>
              </w:rPr>
              <w:t>Veracruz</w:t>
            </w:r>
          </w:p>
        </w:tc>
        <w:tc>
          <w:tcPr>
            <w:tcW w:type="dxa" w:w="737"/>
          </w:tcPr>
          <w:p>
            <w:pPr>
              <w:keepNext w:val="0"/>
              <w:spacing w:after="20" w:before="20" w:line="240" w:lineRule="auto"/>
              <w:jc w:val="center"/>
            </w:pPr>
            <w:r/>
            <w:r>
              <w:rPr>
                <w:sz w:val="16"/>
              </w:rPr>
              <w:t>19</w:t>
            </w:r>
          </w:p>
        </w:tc>
        <w:tc>
          <w:tcPr>
            <w:tcW w:type="dxa" w:w="1247"/>
          </w:tcPr>
          <w:p>
            <w:pPr>
              <w:keepNext w:val="0"/>
              <w:spacing w:after="20" w:before="20" w:line="240" w:lineRule="auto"/>
              <w:jc w:val="center"/>
            </w:pPr>
            <w:r/>
            <w:r>
              <w:rPr>
                <w:sz w:val="16"/>
              </w:rPr>
              <w:t>48.29</w:t>
            </w:r>
          </w:p>
        </w:tc>
        <w:tc>
          <w:tcPr>
            <w:tcW w:type="dxa" w:w="1247"/>
          </w:tcPr>
          <w:p>
            <w:pPr>
              <w:keepNext w:val="0"/>
              <w:spacing w:after="20" w:before="20" w:line="240" w:lineRule="auto"/>
              <w:jc w:val="center"/>
            </w:pPr>
            <w:r/>
            <w:r>
              <w:rPr>
                <w:sz w:val="16"/>
              </w:rPr>
              <w:t>54.42</w:t>
            </w:r>
          </w:p>
        </w:tc>
        <w:tc>
          <w:tcPr>
            <w:tcW w:type="dxa" w:w="1361"/>
            <w:shd w:val="clear" w:color="auto" w:fill="FFE9A8"/>
          </w:tcPr>
          <w:p>
            <w:pPr>
              <w:keepNext w:val="0"/>
              <w:spacing w:after="20" w:before="20" w:line="240" w:lineRule="auto"/>
              <w:jc w:val="center"/>
            </w:pPr>
            <w:r/>
            <w:r>
              <w:rPr>
                <w:sz w:val="16"/>
              </w:rPr>
              <w:t>Amarillo</w:t>
            </w:r>
          </w:p>
        </w:tc>
        <w:tc>
          <w:tcPr>
            <w:tcW w:type="dxa" w:w="2041"/>
          </w:tcPr>
          <w:p>
            <w:pPr>
              <w:keepNext w:val="0"/>
              <w:spacing w:after="20" w:before="20" w:line="240" w:lineRule="auto"/>
              <w:jc w:val="center"/>
            </w:pPr>
            <w:r/>
            <w:r>
              <w:rPr>
                <w:sz w:val="16"/>
              </w:rPr>
              <w:t>178,638</w:t>
            </w:r>
          </w:p>
        </w:tc>
      </w:tr>
      <w:tr>
        <w:trPr>
          <w:cantSplit w:val="true"/>
        </w:trPr>
        <w:tc>
          <w:tcPr>
            <w:tcW w:type="dxa" w:w="2211"/>
            <w:shd w:val="clear" w:color="auto" w:fill="F2F5F8"/>
          </w:tcPr>
          <w:p>
            <w:pPr>
              <w:keepNext w:val="0"/>
              <w:spacing w:after="20" w:before="20" w:line="240" w:lineRule="auto"/>
              <w:jc w:val="left"/>
            </w:pPr>
            <w:r/>
            <w:r>
              <w:rPr>
                <w:sz w:val="16"/>
              </w:rPr>
              <w:t>Ciudad de México</w:t>
            </w:r>
          </w:p>
        </w:tc>
        <w:tc>
          <w:tcPr>
            <w:tcW w:type="dxa" w:w="737"/>
            <w:shd w:val="clear" w:color="auto" w:fill="F2F5F8"/>
          </w:tcPr>
          <w:p>
            <w:pPr>
              <w:keepNext w:val="0"/>
              <w:spacing w:after="20" w:before="20" w:line="240" w:lineRule="auto"/>
              <w:jc w:val="center"/>
            </w:pPr>
            <w:r/>
            <w:r>
              <w:rPr>
                <w:sz w:val="16"/>
              </w:rPr>
              <w:t>22</w:t>
            </w:r>
          </w:p>
        </w:tc>
        <w:tc>
          <w:tcPr>
            <w:tcW w:type="dxa" w:w="1247"/>
            <w:shd w:val="clear" w:color="auto" w:fill="F2F5F8"/>
          </w:tcPr>
          <w:p>
            <w:pPr>
              <w:keepNext w:val="0"/>
              <w:spacing w:after="20" w:before="20" w:line="240" w:lineRule="auto"/>
              <w:jc w:val="center"/>
            </w:pPr>
            <w:r/>
            <w:r>
              <w:rPr>
                <w:sz w:val="16"/>
              </w:rPr>
              <w:t>39.02</w:t>
            </w:r>
          </w:p>
        </w:tc>
        <w:tc>
          <w:tcPr>
            <w:tcW w:type="dxa" w:w="1247"/>
            <w:shd w:val="clear" w:color="auto" w:fill="F2F5F8"/>
          </w:tcPr>
          <w:p>
            <w:pPr>
              <w:keepNext w:val="0"/>
              <w:spacing w:after="20" w:before="20" w:line="240" w:lineRule="auto"/>
              <w:jc w:val="center"/>
            </w:pPr>
            <w:r/>
            <w:r>
              <w:rPr>
                <w:sz w:val="16"/>
              </w:rPr>
              <w:t>54.37</w:t>
            </w:r>
          </w:p>
        </w:tc>
        <w:tc>
          <w:tcPr>
            <w:tcW w:type="dxa" w:w="1361"/>
            <w:shd w:val="clear" w:color="auto" w:fill="FFE9A8"/>
          </w:tcPr>
          <w:p>
            <w:pPr>
              <w:keepNext w:val="0"/>
              <w:spacing w:after="20" w:before="20" w:line="240" w:lineRule="auto"/>
              <w:jc w:val="center"/>
            </w:pPr>
            <w:r/>
            <w:r>
              <w:rPr>
                <w:sz w:val="16"/>
              </w:rPr>
              <w:t>Amarillo</w:t>
            </w:r>
          </w:p>
        </w:tc>
        <w:tc>
          <w:tcPr>
            <w:tcW w:type="dxa" w:w="2041"/>
            <w:shd w:val="clear" w:color="auto" w:fill="F2F5F8"/>
          </w:tcPr>
          <w:p>
            <w:pPr>
              <w:keepNext w:val="0"/>
              <w:spacing w:after="20" w:before="20" w:line="240" w:lineRule="auto"/>
              <w:jc w:val="center"/>
            </w:pPr>
            <w:r/>
            <w:r>
              <w:rPr>
                <w:sz w:val="16"/>
              </w:rPr>
              <w:t>165,311</w:t>
            </w:r>
          </w:p>
        </w:tc>
      </w:tr>
      <w:tr>
        <w:trPr>
          <w:cantSplit w:val="true"/>
        </w:trPr>
        <w:tc>
          <w:tcPr>
            <w:tcW w:type="dxa" w:w="2211"/>
          </w:tcPr>
          <w:p>
            <w:pPr>
              <w:keepNext w:val="0"/>
              <w:spacing w:after="20" w:before="20" w:line="240" w:lineRule="auto"/>
              <w:jc w:val="left"/>
            </w:pPr>
            <w:r/>
            <w:r>
              <w:rPr>
                <w:sz w:val="16"/>
              </w:rPr>
              <w:t>Nuevo León</w:t>
            </w:r>
          </w:p>
        </w:tc>
        <w:tc>
          <w:tcPr>
            <w:tcW w:type="dxa" w:w="737"/>
          </w:tcPr>
          <w:p>
            <w:pPr>
              <w:keepNext w:val="0"/>
              <w:spacing w:after="20" w:before="20" w:line="240" w:lineRule="auto"/>
              <w:jc w:val="center"/>
            </w:pPr>
            <w:r/>
            <w:r>
              <w:rPr>
                <w:sz w:val="16"/>
              </w:rPr>
              <w:t>13</w:t>
            </w:r>
          </w:p>
        </w:tc>
        <w:tc>
          <w:tcPr>
            <w:tcW w:type="dxa" w:w="1247"/>
          </w:tcPr>
          <w:p>
            <w:pPr>
              <w:keepNext w:val="0"/>
              <w:spacing w:after="20" w:before="20" w:line="240" w:lineRule="auto"/>
              <w:jc w:val="center"/>
            </w:pPr>
            <w:r/>
            <w:r>
              <w:rPr>
                <w:sz w:val="16"/>
              </w:rPr>
              <w:t>48.61</w:t>
            </w:r>
          </w:p>
        </w:tc>
        <w:tc>
          <w:tcPr>
            <w:tcW w:type="dxa" w:w="1247"/>
          </w:tcPr>
          <w:p>
            <w:pPr>
              <w:keepNext w:val="0"/>
              <w:spacing w:after="20" w:before="20" w:line="240" w:lineRule="auto"/>
              <w:jc w:val="center"/>
            </w:pPr>
            <w:r/>
            <w:r>
              <w:rPr>
                <w:sz w:val="16"/>
              </w:rPr>
              <w:t>54.27</w:t>
            </w:r>
          </w:p>
        </w:tc>
        <w:tc>
          <w:tcPr>
            <w:tcW w:type="dxa" w:w="1361"/>
            <w:shd w:val="clear" w:color="auto" w:fill="FFE9A8"/>
          </w:tcPr>
          <w:p>
            <w:pPr>
              <w:keepNext w:val="0"/>
              <w:spacing w:after="20" w:before="20" w:line="240" w:lineRule="auto"/>
              <w:jc w:val="center"/>
            </w:pPr>
            <w:r/>
            <w:r>
              <w:rPr>
                <w:sz w:val="16"/>
              </w:rPr>
              <w:t>Amarillo</w:t>
            </w:r>
          </w:p>
        </w:tc>
        <w:tc>
          <w:tcPr>
            <w:tcW w:type="dxa" w:w="2041"/>
          </w:tcPr>
          <w:p>
            <w:pPr>
              <w:keepNext w:val="0"/>
              <w:spacing w:after="20" w:before="20" w:line="240" w:lineRule="auto"/>
              <w:jc w:val="center"/>
            </w:pPr>
            <w:r/>
            <w:r>
              <w:rPr>
                <w:sz w:val="16"/>
              </w:rPr>
              <w:t>134,656</w:t>
            </w:r>
          </w:p>
        </w:tc>
      </w:tr>
      <w:tr>
        <w:trPr>
          <w:cantSplit w:val="true"/>
        </w:trPr>
        <w:tc>
          <w:tcPr>
            <w:tcW w:type="dxa" w:w="2211"/>
            <w:shd w:val="clear" w:color="auto" w:fill="F2F5F8"/>
          </w:tcPr>
          <w:p>
            <w:pPr>
              <w:keepNext w:val="0"/>
              <w:spacing w:after="20" w:before="20" w:line="240" w:lineRule="auto"/>
              <w:jc w:val="left"/>
            </w:pPr>
            <w:r/>
            <w:r>
              <w:rPr>
                <w:sz w:val="16"/>
              </w:rPr>
              <w:t>Sinaloa</w:t>
            </w:r>
          </w:p>
        </w:tc>
        <w:tc>
          <w:tcPr>
            <w:tcW w:type="dxa" w:w="737"/>
            <w:shd w:val="clear" w:color="auto" w:fill="F2F5F8"/>
          </w:tcPr>
          <w:p>
            <w:pPr>
              <w:keepNext w:val="0"/>
              <w:spacing w:after="20" w:before="20" w:line="240" w:lineRule="auto"/>
              <w:jc w:val="center"/>
            </w:pPr>
            <w:r/>
            <w:r>
              <w:rPr>
                <w:sz w:val="16"/>
              </w:rPr>
              <w:t>7</w:t>
            </w:r>
          </w:p>
        </w:tc>
        <w:tc>
          <w:tcPr>
            <w:tcW w:type="dxa" w:w="1247"/>
            <w:shd w:val="clear" w:color="auto" w:fill="F2F5F8"/>
          </w:tcPr>
          <w:p>
            <w:pPr>
              <w:keepNext w:val="0"/>
              <w:spacing w:after="20" w:before="20" w:line="240" w:lineRule="auto"/>
              <w:jc w:val="center"/>
            </w:pPr>
            <w:r/>
            <w:r>
              <w:rPr>
                <w:sz w:val="16"/>
              </w:rPr>
              <w:t>48.29</w:t>
            </w:r>
          </w:p>
        </w:tc>
        <w:tc>
          <w:tcPr>
            <w:tcW w:type="dxa" w:w="1247"/>
            <w:shd w:val="clear" w:color="auto" w:fill="F2F5F8"/>
          </w:tcPr>
          <w:p>
            <w:pPr>
              <w:keepNext w:val="0"/>
              <w:spacing w:after="20" w:before="20" w:line="240" w:lineRule="auto"/>
              <w:jc w:val="center"/>
            </w:pPr>
            <w:r/>
            <w:r>
              <w:rPr>
                <w:sz w:val="16"/>
              </w:rPr>
              <w:t>53.92</w:t>
            </w:r>
          </w:p>
        </w:tc>
        <w:tc>
          <w:tcPr>
            <w:tcW w:type="dxa" w:w="1361"/>
            <w:shd w:val="clear" w:color="auto" w:fill="FFE9A8"/>
          </w:tcPr>
          <w:p>
            <w:pPr>
              <w:keepNext w:val="0"/>
              <w:spacing w:after="20" w:before="20" w:line="240" w:lineRule="auto"/>
              <w:jc w:val="center"/>
            </w:pPr>
            <w:r/>
            <w:r>
              <w:rPr>
                <w:sz w:val="16"/>
              </w:rPr>
              <w:t>Amarillo</w:t>
            </w:r>
          </w:p>
        </w:tc>
        <w:tc>
          <w:tcPr>
            <w:tcW w:type="dxa" w:w="2041"/>
            <w:shd w:val="clear" w:color="auto" w:fill="F2F5F8"/>
          </w:tcPr>
          <w:p>
            <w:pPr>
              <w:keepNext w:val="0"/>
              <w:spacing w:after="20" w:before="20" w:line="240" w:lineRule="auto"/>
              <w:jc w:val="center"/>
            </w:pPr>
            <w:r/>
            <w:r>
              <w:rPr>
                <w:sz w:val="16"/>
              </w:rPr>
              <w:t>179,319</w:t>
            </w:r>
          </w:p>
        </w:tc>
      </w:tr>
      <w:tr>
        <w:trPr>
          <w:cantSplit w:val="true"/>
        </w:trPr>
        <w:tc>
          <w:tcPr>
            <w:tcW w:type="dxa" w:w="2211"/>
          </w:tcPr>
          <w:p>
            <w:pPr>
              <w:keepNext w:val="0"/>
              <w:spacing w:after="20" w:before="20" w:line="240" w:lineRule="auto"/>
              <w:jc w:val="left"/>
            </w:pPr>
            <w:r/>
            <w:r>
              <w:rPr>
                <w:sz w:val="16"/>
              </w:rPr>
              <w:t>Tabasco</w:t>
            </w:r>
          </w:p>
        </w:tc>
        <w:tc>
          <w:tcPr>
            <w:tcW w:type="dxa" w:w="737"/>
          </w:tcPr>
          <w:p>
            <w:pPr>
              <w:keepNext w:val="0"/>
              <w:spacing w:after="20" w:before="20" w:line="240" w:lineRule="auto"/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247"/>
          </w:tcPr>
          <w:p>
            <w:pPr>
              <w:keepNext w:val="0"/>
              <w:spacing w:after="20" w:before="20" w:line="240" w:lineRule="auto"/>
              <w:jc w:val="center"/>
            </w:pPr>
            <w:r/>
            <w:r>
              <w:rPr>
                <w:sz w:val="16"/>
              </w:rPr>
              <w:t>43.56</w:t>
            </w:r>
          </w:p>
        </w:tc>
        <w:tc>
          <w:tcPr>
            <w:tcW w:type="dxa" w:w="1247"/>
          </w:tcPr>
          <w:p>
            <w:pPr>
              <w:keepNext w:val="0"/>
              <w:spacing w:after="20" w:before="20" w:line="240" w:lineRule="auto"/>
              <w:jc w:val="center"/>
            </w:pPr>
            <w:r/>
            <w:r>
              <w:rPr>
                <w:sz w:val="16"/>
              </w:rPr>
              <w:t>53.83</w:t>
            </w:r>
          </w:p>
        </w:tc>
        <w:tc>
          <w:tcPr>
            <w:tcW w:type="dxa" w:w="1361"/>
            <w:shd w:val="clear" w:color="auto" w:fill="FFE9A8"/>
          </w:tcPr>
          <w:p>
            <w:pPr>
              <w:keepNext w:val="0"/>
              <w:spacing w:after="20" w:before="20" w:line="240" w:lineRule="auto"/>
              <w:jc w:val="center"/>
            </w:pPr>
            <w:r/>
            <w:r>
              <w:rPr>
                <w:sz w:val="16"/>
              </w:rPr>
              <w:t>Amarillo</w:t>
            </w:r>
          </w:p>
        </w:tc>
        <w:tc>
          <w:tcPr>
            <w:tcW w:type="dxa" w:w="2041"/>
          </w:tcPr>
          <w:p>
            <w:pPr>
              <w:keepNext w:val="0"/>
              <w:spacing w:after="20" w:before="20" w:line="240" w:lineRule="auto"/>
              <w:jc w:val="center"/>
            </w:pPr>
            <w:r/>
            <w:r>
              <w:rPr>
                <w:sz w:val="16"/>
              </w:rPr>
              <w:t>171,814</w:t>
            </w:r>
          </w:p>
        </w:tc>
      </w:tr>
      <w:tr>
        <w:trPr>
          <w:cantSplit w:val="true"/>
        </w:trPr>
        <w:tc>
          <w:tcPr>
            <w:tcW w:type="dxa" w:w="2211"/>
            <w:shd w:val="clear" w:color="auto" w:fill="F2F5F8"/>
          </w:tcPr>
          <w:p>
            <w:pPr>
              <w:keepNext w:val="0"/>
              <w:spacing w:after="20" w:before="20" w:line="240" w:lineRule="auto"/>
              <w:jc w:val="left"/>
            </w:pPr>
            <w:r/>
            <w:r>
              <w:rPr>
                <w:sz w:val="16"/>
              </w:rPr>
              <w:t>Guerrero</w:t>
            </w:r>
          </w:p>
        </w:tc>
        <w:tc>
          <w:tcPr>
            <w:tcW w:type="dxa" w:w="737"/>
            <w:shd w:val="clear" w:color="auto" w:fill="F2F5F8"/>
          </w:tcPr>
          <w:p>
            <w:pPr>
              <w:keepNext w:val="0"/>
              <w:spacing w:after="20" w:before="20" w:line="240" w:lineRule="auto"/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247"/>
            <w:shd w:val="clear" w:color="auto" w:fill="F2F5F8"/>
          </w:tcPr>
          <w:p>
            <w:pPr>
              <w:keepNext w:val="0"/>
              <w:spacing w:after="20" w:before="20" w:line="240" w:lineRule="auto"/>
              <w:jc w:val="center"/>
            </w:pPr>
            <w:r/>
            <w:r>
              <w:rPr>
                <w:sz w:val="16"/>
              </w:rPr>
              <w:t>50.15</w:t>
            </w:r>
          </w:p>
        </w:tc>
        <w:tc>
          <w:tcPr>
            <w:tcW w:type="dxa" w:w="1247"/>
            <w:shd w:val="clear" w:color="auto" w:fill="F2F5F8"/>
          </w:tcPr>
          <w:p>
            <w:pPr>
              <w:keepNext w:val="0"/>
              <w:spacing w:after="20" w:before="20" w:line="240" w:lineRule="auto"/>
              <w:jc w:val="center"/>
            </w:pPr>
            <w:r/>
            <w:r>
              <w:rPr>
                <w:sz w:val="16"/>
              </w:rPr>
              <w:t>53.36</w:t>
            </w:r>
          </w:p>
        </w:tc>
        <w:tc>
          <w:tcPr>
            <w:tcW w:type="dxa" w:w="1361"/>
            <w:shd w:val="clear" w:color="auto" w:fill="FFE9A8"/>
          </w:tcPr>
          <w:p>
            <w:pPr>
              <w:keepNext w:val="0"/>
              <w:spacing w:after="20" w:before="20" w:line="240" w:lineRule="auto"/>
              <w:jc w:val="center"/>
            </w:pPr>
            <w:r/>
            <w:r>
              <w:rPr>
                <w:sz w:val="16"/>
              </w:rPr>
              <w:t>Amarillo</w:t>
            </w:r>
          </w:p>
        </w:tc>
        <w:tc>
          <w:tcPr>
            <w:tcW w:type="dxa" w:w="2041"/>
            <w:shd w:val="clear" w:color="auto" w:fill="F2F5F8"/>
          </w:tcPr>
          <w:p>
            <w:pPr>
              <w:keepNext w:val="0"/>
              <w:spacing w:after="20" w:before="20" w:line="240" w:lineRule="auto"/>
              <w:jc w:val="center"/>
            </w:pPr>
            <w:r/>
            <w:r>
              <w:rPr>
                <w:sz w:val="16"/>
              </w:rPr>
              <w:t>153,758</w:t>
            </w:r>
          </w:p>
        </w:tc>
      </w:tr>
      <w:tr>
        <w:trPr>
          <w:cantSplit w:val="true"/>
        </w:trPr>
        <w:tc>
          <w:tcPr>
            <w:tcW w:type="dxa" w:w="2211"/>
          </w:tcPr>
          <w:p>
            <w:pPr>
              <w:keepNext w:val="0"/>
              <w:spacing w:after="20" w:before="20" w:line="240" w:lineRule="auto"/>
              <w:jc w:val="left"/>
            </w:pPr>
            <w:r/>
            <w:r>
              <w:rPr>
                <w:sz w:val="16"/>
              </w:rPr>
              <w:t>Puebla</w:t>
            </w:r>
          </w:p>
        </w:tc>
        <w:tc>
          <w:tcPr>
            <w:tcW w:type="dxa" w:w="737"/>
          </w:tcPr>
          <w:p>
            <w:pPr>
              <w:keepNext w:val="0"/>
              <w:spacing w:after="20" w:before="20" w:line="240" w:lineRule="auto"/>
              <w:jc w:val="center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1247"/>
          </w:tcPr>
          <w:p>
            <w:pPr>
              <w:keepNext w:val="0"/>
              <w:spacing w:after="20" w:before="20" w:line="240" w:lineRule="auto"/>
              <w:jc w:val="center"/>
            </w:pPr>
            <w:r/>
            <w:r>
              <w:rPr>
                <w:sz w:val="16"/>
              </w:rPr>
              <w:t>42.09</w:t>
            </w:r>
          </w:p>
        </w:tc>
        <w:tc>
          <w:tcPr>
            <w:tcW w:type="dxa" w:w="1247"/>
          </w:tcPr>
          <w:p>
            <w:pPr>
              <w:keepNext w:val="0"/>
              <w:spacing w:after="20" w:before="20" w:line="240" w:lineRule="auto"/>
              <w:jc w:val="center"/>
            </w:pPr>
            <w:r/>
            <w:r>
              <w:rPr>
                <w:sz w:val="16"/>
              </w:rPr>
              <w:t>53.26</w:t>
            </w:r>
          </w:p>
        </w:tc>
        <w:tc>
          <w:tcPr>
            <w:tcW w:type="dxa" w:w="1361"/>
            <w:shd w:val="clear" w:color="auto" w:fill="FFE9A8"/>
          </w:tcPr>
          <w:p>
            <w:pPr>
              <w:keepNext w:val="0"/>
              <w:spacing w:after="20" w:before="20" w:line="240" w:lineRule="auto"/>
              <w:jc w:val="center"/>
            </w:pPr>
            <w:r/>
            <w:r>
              <w:rPr>
                <w:sz w:val="16"/>
              </w:rPr>
              <w:t>Amarillo</w:t>
            </w:r>
          </w:p>
        </w:tc>
        <w:tc>
          <w:tcPr>
            <w:tcW w:type="dxa" w:w="2041"/>
          </w:tcPr>
          <w:p>
            <w:pPr>
              <w:keepNext w:val="0"/>
              <w:spacing w:after="20" w:before="20" w:line="240" w:lineRule="auto"/>
              <w:jc w:val="center"/>
            </w:pPr>
            <w:r/>
            <w:r>
              <w:rPr>
                <w:sz w:val="16"/>
              </w:rPr>
              <w:t>176,929</w:t>
            </w:r>
          </w:p>
        </w:tc>
      </w:tr>
      <w:tr>
        <w:trPr>
          <w:cantSplit w:val="true"/>
        </w:trPr>
        <w:tc>
          <w:tcPr>
            <w:tcW w:type="dxa" w:w="2211"/>
            <w:shd w:val="clear" w:color="auto" w:fill="F2F5F8"/>
          </w:tcPr>
          <w:p>
            <w:pPr>
              <w:keepNext w:val="0"/>
              <w:spacing w:after="20" w:before="20" w:line="240" w:lineRule="auto"/>
              <w:jc w:val="left"/>
            </w:pPr>
            <w:r/>
            <w:r>
              <w:rPr>
                <w:sz w:val="16"/>
              </w:rPr>
              <w:t>Tabasco</w:t>
            </w:r>
          </w:p>
        </w:tc>
        <w:tc>
          <w:tcPr>
            <w:tcW w:type="dxa" w:w="737"/>
            <w:shd w:val="clear" w:color="auto" w:fill="F2F5F8"/>
          </w:tcPr>
          <w:p>
            <w:pPr>
              <w:keepNext w:val="0"/>
              <w:spacing w:after="20" w:before="20" w:line="240" w:lineRule="auto"/>
              <w:jc w:val="center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1247"/>
            <w:shd w:val="clear" w:color="auto" w:fill="F2F5F8"/>
          </w:tcPr>
          <w:p>
            <w:pPr>
              <w:keepNext w:val="0"/>
              <w:spacing w:after="20" w:before="20" w:line="240" w:lineRule="auto"/>
              <w:jc w:val="center"/>
            </w:pPr>
            <w:r/>
            <w:r>
              <w:rPr>
                <w:sz w:val="16"/>
              </w:rPr>
              <w:t>42.84</w:t>
            </w:r>
          </w:p>
        </w:tc>
        <w:tc>
          <w:tcPr>
            <w:tcW w:type="dxa" w:w="1247"/>
            <w:shd w:val="clear" w:color="auto" w:fill="F2F5F8"/>
          </w:tcPr>
          <w:p>
            <w:pPr>
              <w:keepNext w:val="0"/>
              <w:spacing w:after="20" w:before="20" w:line="240" w:lineRule="auto"/>
              <w:jc w:val="center"/>
            </w:pPr>
            <w:r/>
            <w:r>
              <w:rPr>
                <w:sz w:val="16"/>
              </w:rPr>
              <w:t>53.10</w:t>
            </w:r>
          </w:p>
        </w:tc>
        <w:tc>
          <w:tcPr>
            <w:tcW w:type="dxa" w:w="1361"/>
            <w:shd w:val="clear" w:color="auto" w:fill="FFE9A8"/>
          </w:tcPr>
          <w:p>
            <w:pPr>
              <w:keepNext w:val="0"/>
              <w:spacing w:after="20" w:before="20" w:line="240" w:lineRule="auto"/>
              <w:jc w:val="center"/>
            </w:pPr>
            <w:r/>
            <w:r>
              <w:rPr>
                <w:sz w:val="16"/>
              </w:rPr>
              <w:t>Amarillo</w:t>
            </w:r>
          </w:p>
        </w:tc>
        <w:tc>
          <w:tcPr>
            <w:tcW w:type="dxa" w:w="2041"/>
            <w:shd w:val="clear" w:color="auto" w:fill="F2F5F8"/>
          </w:tcPr>
          <w:p>
            <w:pPr>
              <w:keepNext w:val="0"/>
              <w:spacing w:after="20" w:before="20" w:line="240" w:lineRule="auto"/>
              <w:jc w:val="center"/>
            </w:pPr>
            <w:r/>
            <w:r>
              <w:rPr>
                <w:sz w:val="16"/>
              </w:rPr>
              <w:t>163,849</w:t>
            </w:r>
          </w:p>
        </w:tc>
      </w:tr>
    </w:tbl>
    <w:p>
      <w:pPr>
        <w:spacing w:after="40"/>
      </w:pPr>
    </w:p>
    <w:p>
      <w:pPr>
        <w:keepNext/>
        <w:spacing w:after="2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392000" cy="318146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_distritos_rojos_oculto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92000" cy="31814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264" w:lineRule="auto"/>
        <w:jc w:val="center"/>
      </w:pPr>
      <w:r>
        <w:rPr>
          <w:b/>
          <w:color w:val="7D8894"/>
          <w:sz w:val="18"/>
        </w:rPr>
        <w:t>Figura 6.</w:t>
      </w:r>
      <w:r>
        <w:rPr>
          <w:b w:val="0"/>
          <w:color w:val="7D8894"/>
          <w:sz w:val="18"/>
        </w:rPr>
        <w:t xml:space="preserve"> Distritos rojos ocultos frente al promedio proyectado de su entidad.</w:t>
      </w:r>
    </w:p>
    <w:p>
      <w:pPr>
        <w:pStyle w:val="Heading1"/>
      </w:pPr>
      <w:r>
        <w:t>6. Recomendaciones preventivas y priorización de recursos</w:t>
      </w:r>
    </w:p>
    <w:p>
      <w:pPr>
        <w:spacing w:after="100"/>
        <w:jc w:val="both"/>
      </w:pPr>
      <w:r>
        <w:rPr>
          <w:b w:val="0"/>
        </w:rPr>
        <w:t>Las recomendaciones son operativas: se ejecutan con las atribuciones vigentes de la DECEyEC y de las Juntas Locales y Distritales Ejecutivas en el marco de la ENCÍVICA y no requieren reformas legales. Se organizan en cuatro ejes.</w:t>
      </w:r>
    </w:p>
    <w:p>
      <w:pPr>
        <w:keepNext/>
        <w:spacing w:after="40" w:line="264" w:lineRule="auto"/>
        <w:jc w:val="left"/>
      </w:pPr>
      <w:r>
        <w:rPr>
          <w:b/>
          <w:sz w:val="19"/>
        </w:rPr>
        <w:t>Tabla 13.</w:t>
      </w:r>
      <w:r>
        <w:rPr>
          <w:b w:val="0"/>
          <w:sz w:val="19"/>
        </w:rPr>
        <w:t xml:space="preserve"> Matriz de recomendaciones preventivas</w:t>
      </w:r>
    </w:p>
    <w:tbl>
      <w:tblPr>
        <w:tblW w:type="dxa" w:w="9355"/>
        <w:jc w:val="center"/>
        <w:tblLayout w:type="fixed"/>
        <w:tblLook w:firstColumn="1" w:firstRow="1" w:lastColumn="0" w:lastRow="0" w:noHBand="0" w:noVBand="1" w:val="04A0"/>
        <w:tblBorders>
          <w:top w:val="single" w:sz="4" w:color="D5DCE3"/>
          <w:bottom w:val="single" w:sz="4" w:color="D5DCE3"/>
          <w:insideH w:val="single" w:sz="4" w:color="D5DCE3"/>
          <w:left w:val="nil"/>
          <w:right w:val="nil"/>
          <w:insideV w:val="nil"/>
        </w:tblBorders>
        <w:tblLayout w:type="fixed"/>
      </w:tblPr>
      <w:tblGrid>
        <w:gridCol w:w="1871"/>
        <w:gridCol w:w="4139"/>
        <w:gridCol w:w="1644"/>
        <w:gridCol w:w="1701"/>
      </w:tblGrid>
      <w:tr>
        <w:trPr>
          <w:cantSplit w:val="true"/>
          <w:tblHeader w:val="true"/>
        </w:trPr>
        <w:tc>
          <w:tcPr>
            <w:tcW w:type="dxa" w:w="1871"/>
            <w:shd w:val="clear" w:color="auto" w:fill="23395B"/>
          </w:tcPr>
          <w:p>
            <w:pPr>
              <w:keepNext/>
              <w:spacing w:after="20" w:before="20" w:line="240" w:lineRule="auto"/>
              <w:jc w:val="left"/>
            </w:pPr>
            <w:r/>
            <w:r>
              <w:rPr>
                <w:b/>
                <w:color w:val="FFFFFF"/>
                <w:sz w:val="16"/>
              </w:rPr>
              <w:t>Eje</w:t>
            </w:r>
          </w:p>
        </w:tc>
        <w:tc>
          <w:tcPr>
            <w:tcW w:type="dxa" w:w="4139"/>
            <w:shd w:val="clear" w:color="auto" w:fill="23395B"/>
          </w:tcPr>
          <w:p>
            <w:pPr>
              <w:keepNext/>
              <w:spacing w:after="20" w:before="20" w:line="240" w:lineRule="auto"/>
              <w:jc w:val="left"/>
            </w:pPr>
            <w:r/>
            <w:r>
              <w:rPr>
                <w:b/>
                <w:color w:val="FFFFFF"/>
                <w:sz w:val="16"/>
              </w:rPr>
              <w:t>Acción</w:t>
            </w:r>
          </w:p>
        </w:tc>
        <w:tc>
          <w:tcPr>
            <w:tcW w:type="dxa" w:w="1644"/>
            <w:shd w:val="clear" w:color="auto" w:fill="23395B"/>
          </w:tcPr>
          <w:p>
            <w:pPr>
              <w:keepNext/>
              <w:spacing w:after="20" w:before="20" w:line="240" w:lineRule="auto"/>
              <w:jc w:val="left"/>
            </w:pPr>
            <w:r/>
            <w:r>
              <w:rPr>
                <w:b/>
                <w:color w:val="FFFFFF"/>
                <w:sz w:val="16"/>
              </w:rPr>
              <w:t>Responsables</w:t>
            </w:r>
          </w:p>
        </w:tc>
        <w:tc>
          <w:tcPr>
            <w:tcW w:type="dxa" w:w="1701"/>
            <w:shd w:val="clear" w:color="auto" w:fill="23395B"/>
          </w:tcPr>
          <w:p>
            <w:pPr>
              <w:keepNext/>
              <w:spacing w:after="20" w:before="20" w:line="240" w:lineRule="auto"/>
              <w:jc w:val="left"/>
            </w:pPr>
            <w:r/>
            <w:r>
              <w:rPr>
                <w:b/>
                <w:color w:val="FFFFFF"/>
                <w:sz w:val="16"/>
              </w:rPr>
              <w:t>Indicador de seguimiento</w:t>
            </w:r>
          </w:p>
        </w:tc>
      </w:tr>
      <w:tr>
        <w:trPr>
          <w:cantSplit w:val="true"/>
        </w:trPr>
        <w:tc>
          <w:tcPr>
            <w:tcW w:type="dxa" w:w="1871"/>
          </w:tcPr>
          <w:p>
            <w:pPr>
              <w:keepNext/>
              <w:spacing w:after="20" w:before="20" w:line="240" w:lineRule="auto"/>
              <w:jc w:val="left"/>
            </w:pPr>
            <w:r/>
            <w:r>
              <w:rPr>
                <w:sz w:val="16"/>
              </w:rPr>
              <w:t>1. Regla de asignación subestatal</w:t>
            </w:r>
          </w:p>
        </w:tc>
        <w:tc>
          <w:tcPr>
            <w:tcW w:type="dxa" w:w="4139"/>
          </w:tcPr>
          <w:p>
            <w:pPr>
              <w:keepNext/>
              <w:spacing w:after="20" w:before="20" w:line="240" w:lineRule="auto"/>
              <w:jc w:val="left"/>
            </w:pPr>
            <w:r/>
            <w:r>
              <w:rPr>
                <w:sz w:val="16"/>
              </w:rPr>
              <w:t>Distribuir presupuesto y brigadas por distrito con el semáforo distrital: prioridad 1 a los 53 distritos rojos de entidades rojas y a los 22 rojos ocultos; prioridad 2 a distritos amarillos de entidades rojas.</w:t>
            </w:r>
          </w:p>
        </w:tc>
        <w:tc>
          <w:tcPr>
            <w:tcW w:type="dxa" w:w="1644"/>
          </w:tcPr>
          <w:p>
            <w:pPr>
              <w:keepNext/>
              <w:spacing w:after="20" w:before="20" w:line="240" w:lineRule="auto"/>
              <w:jc w:val="left"/>
            </w:pPr>
            <w:r/>
            <w:r>
              <w:rPr>
                <w:sz w:val="16"/>
              </w:rPr>
              <w:t>DECEyEC; 32 JLE; 300 JDE</w:t>
            </w:r>
          </w:p>
        </w:tc>
        <w:tc>
          <w:tcPr>
            <w:tcW w:type="dxa" w:w="1701"/>
          </w:tcPr>
          <w:p>
            <w:pPr>
              <w:keepNext/>
              <w:spacing w:after="20" w:before="20" w:line="240" w:lineRule="auto"/>
              <w:jc w:val="left"/>
            </w:pPr>
            <w:r/>
            <w:r>
              <w:rPr>
                <w:sz w:val="16"/>
              </w:rPr>
              <w:t>% del presupuesto ejercido en distritos rojos</w:t>
            </w:r>
          </w:p>
        </w:tc>
      </w:tr>
      <w:tr>
        <w:trPr>
          <w:cantSplit w:val="true"/>
        </w:trPr>
        <w:tc>
          <w:tcPr>
            <w:tcW w:type="dxa" w:w="1871"/>
            <w:shd w:val="clear" w:color="auto" w:fill="F2F5F8"/>
          </w:tcPr>
          <w:p>
            <w:pPr>
              <w:keepNext/>
              <w:spacing w:after="20" w:before="20" w:line="240" w:lineRule="auto"/>
              <w:jc w:val="left"/>
            </w:pPr>
            <w:r/>
            <w:r>
              <w:rPr>
                <w:sz w:val="16"/>
              </w:rPr>
              <w:t>2. Juventudes, con énfasis en hombres jóvenes</w:t>
            </w:r>
          </w:p>
        </w:tc>
        <w:tc>
          <w:tcPr>
            <w:tcW w:type="dxa" w:w="4139"/>
            <w:shd w:val="clear" w:color="auto" w:fill="F2F5F8"/>
          </w:tcPr>
          <w:p>
            <w:pPr>
              <w:keepNext/>
              <w:spacing w:after="20" w:before="20" w:line="240" w:lineRule="auto"/>
              <w:jc w:val="left"/>
            </w:pPr>
            <w:r/>
            <w:r>
              <w:rPr>
                <w:sz w:val="16"/>
              </w:rPr>
              <w:t>Campañas ENCÍVICA en universidades, bachilleratos, centros de trabajo y redes; recordatorios de fecha y casilla; mensajes dirigidos a hombres de 18–29 en secciones urbanas y mixtas periféricas.</w:t>
            </w:r>
          </w:p>
        </w:tc>
        <w:tc>
          <w:tcPr>
            <w:tcW w:type="dxa" w:w="1644"/>
            <w:shd w:val="clear" w:color="auto" w:fill="F2F5F8"/>
          </w:tcPr>
          <w:p>
            <w:pPr>
              <w:keepNext/>
              <w:spacing w:after="20" w:before="20" w:line="240" w:lineRule="auto"/>
              <w:jc w:val="left"/>
            </w:pPr>
            <w:r/>
            <w:r>
              <w:rPr>
                <w:sz w:val="16"/>
              </w:rPr>
              <w:t>DECEyEC; JLE de las 8 entidades rojas</w:t>
            </w:r>
          </w:p>
        </w:tc>
        <w:tc>
          <w:tcPr>
            <w:tcW w:type="dxa" w:w="1701"/>
            <w:shd w:val="clear" w:color="auto" w:fill="F2F5F8"/>
          </w:tcPr>
          <w:p>
            <w:pPr>
              <w:keepNext/>
              <w:spacing w:after="20" w:before="20" w:line="240" w:lineRule="auto"/>
              <w:jc w:val="left"/>
            </w:pPr>
            <w:r/>
            <w:r>
              <w:rPr>
                <w:sz w:val="16"/>
              </w:rPr>
              <w:t>Participación 18–29 en 2027 vs 2021</w:t>
            </w:r>
          </w:p>
        </w:tc>
      </w:tr>
      <w:tr>
        <w:trPr>
          <w:cantSplit w:val="true"/>
        </w:trPr>
        <w:tc>
          <w:tcPr>
            <w:tcW w:type="dxa" w:w="1871"/>
          </w:tcPr>
          <w:p>
            <w:pPr>
              <w:keepNext/>
              <w:spacing w:after="20" w:before="20" w:line="240" w:lineRule="auto"/>
              <w:jc w:val="left"/>
            </w:pPr>
            <w:r/>
            <w:r>
              <w:rPr>
                <w:sz w:val="16"/>
              </w:rPr>
              <w:t>3. Territorio rural y pertinencia intercultural</w:t>
            </w:r>
          </w:p>
        </w:tc>
        <w:tc>
          <w:tcPr>
            <w:tcW w:type="dxa" w:w="4139"/>
          </w:tcPr>
          <w:p>
            <w:pPr>
              <w:keepNext/>
              <w:spacing w:after="20" w:before="20" w:line="240" w:lineRule="auto"/>
              <w:jc w:val="left"/>
            </w:pPr>
            <w:r/>
            <w:r>
              <w:rPr>
                <w:sz w:val="16"/>
              </w:rPr>
              <w:t>Brigadas móviles y materiales en lenguas indígenas en secciones rurales de alta abstención (Guanajuato, Durango, Baja California) y en los distritos ocultos de Chiapas, Oaxaca, Hidalgo, Guerrero y Veracruz; materiales para comunidades afromexicanas.</w:t>
            </w:r>
          </w:p>
        </w:tc>
        <w:tc>
          <w:tcPr>
            <w:tcW w:type="dxa" w:w="1644"/>
          </w:tcPr>
          <w:p>
            <w:pPr>
              <w:keepNext/>
              <w:spacing w:after="20" w:before="20" w:line="240" w:lineRule="auto"/>
              <w:jc w:val="left"/>
            </w:pPr>
            <w:r/>
            <w:r>
              <w:rPr>
                <w:sz w:val="16"/>
              </w:rPr>
              <w:t>JDE; vocalías de capacitación</w:t>
            </w:r>
          </w:p>
        </w:tc>
        <w:tc>
          <w:tcPr>
            <w:tcW w:type="dxa" w:w="1701"/>
          </w:tcPr>
          <w:p>
            <w:pPr>
              <w:keepNext/>
              <w:spacing w:after="20" w:before="20" w:line="240" w:lineRule="auto"/>
              <w:jc w:val="left"/>
            </w:pPr>
            <w:r/>
            <w:r>
              <w:rPr>
                <w:sz w:val="16"/>
              </w:rPr>
              <w:t>Secciones rurales atendidas; materiales traducidos</w:t>
            </w:r>
          </w:p>
        </w:tc>
      </w:tr>
      <w:tr>
        <w:trPr>
          <w:cantSplit w:val="true"/>
        </w:trPr>
        <w:tc>
          <w:tcPr>
            <w:tcW w:type="dxa" w:w="1871"/>
            <w:shd w:val="clear" w:color="auto" w:fill="F2F5F8"/>
          </w:tcPr>
          <w:p>
            <w:pPr>
              <w:keepNext w:val="0"/>
              <w:spacing w:after="20" w:before="20" w:line="240" w:lineRule="auto"/>
              <w:jc w:val="left"/>
            </w:pPr>
            <w:r/>
            <w:r>
              <w:rPr>
                <w:sz w:val="16"/>
              </w:rPr>
              <w:t>4. Contra la fatiga de intermedia</w:t>
            </w:r>
          </w:p>
        </w:tc>
        <w:tc>
          <w:tcPr>
            <w:tcW w:type="dxa" w:w="4139"/>
            <w:shd w:val="clear" w:color="auto" w:fill="F2F5F8"/>
          </w:tcPr>
          <w:p>
            <w:pPr>
              <w:keepNext w:val="0"/>
              <w:spacing w:after="20" w:before="20" w:line="240" w:lineRule="auto"/>
              <w:jc w:val="left"/>
            </w:pPr>
            <w:r/>
            <w:r>
              <w:rPr>
                <w:sz w:val="16"/>
              </w:rPr>
              <w:t>Campaña específica en las 15 entidades sin gubernatura en 2027, con prioridad en Guanajuato, Jalisco y Durango: explicar qué se elige en una intermedia y por qué importa la Cámara de Diputados.</w:t>
            </w:r>
          </w:p>
        </w:tc>
        <w:tc>
          <w:tcPr>
            <w:tcW w:type="dxa" w:w="1644"/>
            <w:shd w:val="clear" w:color="auto" w:fill="F2F5F8"/>
          </w:tcPr>
          <w:p>
            <w:pPr>
              <w:keepNext w:val="0"/>
              <w:spacing w:after="20" w:before="20" w:line="240" w:lineRule="auto"/>
              <w:jc w:val="left"/>
            </w:pPr>
            <w:r/>
            <w:r>
              <w:rPr>
                <w:sz w:val="16"/>
              </w:rPr>
              <w:t>DECEyEC; JLE</w:t>
            </w:r>
          </w:p>
        </w:tc>
        <w:tc>
          <w:tcPr>
            <w:tcW w:type="dxa" w:w="1701"/>
            <w:shd w:val="clear" w:color="auto" w:fill="F2F5F8"/>
          </w:tcPr>
          <w:p>
            <w:pPr>
              <w:keepNext w:val="0"/>
              <w:spacing w:after="20" w:before="20" w:line="240" w:lineRule="auto"/>
              <w:jc w:val="left"/>
            </w:pPr>
            <w:r/>
            <w:r>
              <w:rPr>
                <w:sz w:val="16"/>
              </w:rPr>
              <w:t>Caída de participación 2024→2027</w:t>
            </w:r>
          </w:p>
        </w:tc>
      </w:tr>
    </w:tbl>
    <w:p>
      <w:pPr>
        <w:spacing w:after="40"/>
      </w:pPr>
    </w:p>
    <w:p>
      <w:pPr>
        <w:pStyle w:val="Heading2"/>
      </w:pPr>
      <w:r>
        <w:t>6.1 Hoja de ruta</w:t>
      </w:r>
    </w:p>
    <w:p>
      <w:pPr>
        <w:pStyle w:val="ListBullet"/>
        <w:keepNext/>
        <w:spacing w:after="40" w:line="324" w:lineRule="auto"/>
        <w:jc w:val="both"/>
      </w:pPr>
      <w:r>
        <w:rPr>
          <w:b/>
        </w:rPr>
        <w:t>Noviembre 2026 – enero 2027:</w:t>
      </w:r>
      <w:r>
        <w:rPr>
          <w:b w:val="0"/>
        </w:rPr>
        <w:t xml:space="preserve"> adoptar el semáforo como insumo de planeación; cada JLE valida su lista de distritos rojos y ocultos.</w:t>
      </w:r>
    </w:p>
    <w:p>
      <w:pPr>
        <w:pStyle w:val="ListBullet"/>
        <w:keepNext/>
        <w:spacing w:after="40" w:line="324" w:lineRule="auto"/>
        <w:jc w:val="both"/>
      </w:pPr>
      <w:r>
        <w:rPr>
          <w:b/>
        </w:rPr>
        <w:t>Febrero – abril 2027:</w:t>
      </w:r>
      <w:r>
        <w:rPr>
          <w:b w:val="0"/>
        </w:rPr>
        <w:t xml:space="preserve"> despliegue de campañas y brigadas según la regla de asignación; tablero interactivo como herramienta de seguimiento.</w:t>
      </w:r>
    </w:p>
    <w:p>
      <w:pPr>
        <w:pStyle w:val="ListBullet"/>
        <w:keepNext/>
        <w:spacing w:after="40" w:line="324" w:lineRule="auto"/>
        <w:jc w:val="both"/>
      </w:pPr>
      <w:r>
        <w:rPr>
          <w:b/>
        </w:rPr>
        <w:t>Mayo – junio 2027:</w:t>
      </w:r>
      <w:r>
        <w:rPr>
          <w:b w:val="0"/>
        </w:rPr>
        <w:t xml:space="preserve"> intensificación en distritos rojos y en juventudes durante las semanas previas a la jornada.</w:t>
      </w:r>
    </w:p>
    <w:p>
      <w:pPr>
        <w:pStyle w:val="ListBullet"/>
        <w:spacing w:after="40" w:line="324" w:lineRule="auto"/>
        <w:jc w:val="both"/>
      </w:pPr>
      <w:r>
        <w:rPr>
          <w:b/>
        </w:rPr>
        <w:t>Segundo semestre 2027:</w:t>
      </w:r>
      <w:r>
        <w:rPr>
          <w:b w:val="0"/>
        </w:rPr>
        <w:t xml:space="preserve"> con la CCPC 2027, re-estimar el modelo (basta correr run_all.py) y evaluar el impacto por distrito.</w:t>
      </w:r>
    </w:p>
    <w:p>
      <w:pPr>
        <w:pStyle w:val="Heading2"/>
      </w:pPr>
      <w:r>
        <w:t>6.2 Alcances y limitaciones</w:t>
      </w:r>
    </w:p>
    <w:p>
      <w:pPr>
        <w:pStyle w:val="ListBullet"/>
        <w:keepNext/>
        <w:spacing w:after="40" w:line="324" w:lineRule="auto"/>
        <w:jc w:val="both"/>
      </w:pPr>
      <w:r>
        <w:rPr>
          <w:b w:val="0"/>
        </w:rPr>
        <w:t>Seis elecciones son una serie corta: los efectos de ciclo y de gubernatura se estiman con pocas transiciones, y por eso se reporta la banda de error.</w:t>
      </w:r>
    </w:p>
    <w:p>
      <w:pPr>
        <w:pStyle w:val="ListBullet"/>
        <w:keepNext/>
        <w:spacing w:after="40" w:line="324" w:lineRule="auto"/>
        <w:jc w:val="both"/>
      </w:pPr>
      <w:r>
        <w:rPr>
          <w:b w:val="0"/>
        </w:rPr>
        <w:t>La CCPC no incluye el voto en casillas especiales ni el voto desde el extranjero.</w:t>
      </w:r>
    </w:p>
    <w:p>
      <w:pPr>
        <w:pStyle w:val="ListBullet"/>
        <w:keepNext/>
        <w:spacing w:after="40" w:line="324" w:lineRule="auto"/>
        <w:jc w:val="both"/>
      </w:pPr>
      <w:r>
        <w:rPr>
          <w:b w:val="0"/>
        </w:rPr>
        <w:t>El escenario de intervención supone un efecto (15% relativo) que no es causal. El diagnóstico muestra que la abstención urbana y masculina es mayor que la rural en la mayoría de las entidades; por eso las recomendaciones priorizan juventudes urbanas y hombres jóvenes, y conservan lo rural por su costo operativo y su peso en entidades específicas.</w:t>
      </w:r>
    </w:p>
    <w:p>
      <w:pPr>
        <w:pStyle w:val="ListBullet"/>
        <w:keepNext/>
        <w:spacing w:after="40" w:line="324" w:lineRule="auto"/>
        <w:jc w:val="both"/>
      </w:pPr>
      <w:r>
        <w:rPr>
          <w:b w:val="0"/>
        </w:rPr>
        <w:t>Las variables indígena y afromexicana son estatales (Censo 2020), no seccionales; se usan para orientar la operación, no para predecir.</w:t>
      </w:r>
    </w:p>
    <w:p>
      <w:pPr>
        <w:pStyle w:val="ListBullet"/>
        <w:spacing w:after="40" w:line="324" w:lineRule="auto"/>
        <w:jc w:val="both"/>
      </w:pPr>
      <w:r>
        <w:rPr>
          <w:b w:val="0"/>
        </w:rPr>
        <w:t>La capa distrital aplica a cada distrito el cambio proyectado de su entidad; no modela dinámicas propias del distrito.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304" w:right="1417" w:bottom="1247" w:left="1417" w:header="567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7D8894"/>
        <w:sz w:val="17"/>
      </w:rPr>
      <w:t xml:space="preserve">FAROS-2027 · Reporte metodológico y preventivo · Reto 2 · Commit Democrático   |   </w:t>
    </w:r>
    <w:r>
      <w:fldChar w:fldCharType="begin"/>
    </w:r>
    <w:r>
      <w:instrText xml:space="preserve">PAGE</w:instrTex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4680" w:val="clear"/>
        <w:tab w:pos="9360" w:val="clear"/>
        <w:tab w:pos="9405" w:val="right"/>
      </w:tabs>
    </w:pPr>
    <w:r>
      <w:drawing>
        <wp:inline xmlns:a="http://schemas.openxmlformats.org/drawingml/2006/main" xmlns:pic="http://schemas.openxmlformats.org/drawingml/2006/picture">
          <wp:extent cx="1092162" cy="270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ine_2026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92162" cy="270000"/>
                  </a:xfrm>
                  <a:prstGeom prst="rect"/>
                </pic:spPr>
              </pic:pic>
            </a:graphicData>
          </a:graphic>
        </wp:inline>
      </w:drawing>
    </w:r>
    <w:r>
      <w:tab/>
      <w:drawing>
        <wp:inline xmlns:a="http://schemas.openxmlformats.org/drawingml/2006/main" xmlns:pic="http://schemas.openxmlformats.org/drawingml/2006/picture">
          <wp:extent cx="1021070" cy="378000"/>
          <wp:docPr id="2" name="Picture 2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hackea_la_participacion.png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021070" cy="37800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00"/>
    </w:pPr>
    <w:rPr>
      <w:rFonts w:ascii="Calibri" w:hAnsi="Calibri" w:eastAsia="Calibri"/>
      <w:color w:val="14202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 w:line="276" w:lineRule="auto"/>
      <w:outlineLvl w:val="0"/>
    </w:pPr>
    <w:rPr>
      <w:rFonts w:asciiTheme="" w:eastAsiaTheme="majorEastAsia" w:hAnsiTheme="majorHAnsi" w:cstheme="majorBidi" w:ascii="Calibri" w:hAnsi="Calibri"/>
      <w:b/>
      <w:bCs/>
      <w:color w:val="23395B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 w:line="276" w:lineRule="auto"/>
      <w:outlineLvl w:val="1"/>
    </w:pPr>
    <w:rPr>
      <w:rFonts w:asciiTheme="" w:eastAsiaTheme="majorEastAsia" w:hAnsiTheme="majorHAnsi" w:cstheme="majorBidi" w:ascii="Calibri" w:hAnsi="Calibri"/>
      <w:b/>
      <w:bCs/>
      <w:color w:val="23395B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