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t>PollTech + Radar Intelligence</w:t>
      </w:r>
    </w:p>
    <w:p>
      <w:pPr>
        <w:jc w:val="center"/>
      </w:pPr>
      <w:r>
        <w:rPr>
          <w:b/>
          <w:color w:val="2F5597"/>
          <w:sz w:val="40"/>
        </w:rPr>
        <w:t>Technical Design 2 - Radar Enhancements and Customization</w:t>
      </w:r>
    </w:p>
    <w:p>
      <w:pPr>
        <w:jc w:val="center"/>
      </w:pPr>
      <w:r>
        <w:t>Thin-fork strategy, integration API, connector/scheduling extensions and upgrade-safe development</w:t>
        <w:br/>
        <w:br/>
        <w:t>Technical Baseline v1.0</w:t>
        <w:br/>
        <w:t>26 September 2026</w:t>
      </w:r>
    </w:p>
    <w:p>
      <w:r>
        <w:br w:type="page"/>
      </w:r>
    </w:p>
    <w:p>
      <w:pPr>
        <w:pStyle w:val="Heading1"/>
      </w:pPr>
      <w:r>
        <w:t>1. Governing Strategy</w:t>
      </w:r>
    </w:p>
    <w:p>
      <w:r>
        <w:t>Fork Radar but keep the fork thin: configuration first, extension second, core modification last. Isolate PollTech-specific code so upstream merges remain practical.</w:t>
      </w:r>
    </w:p>
    <w:p>
      <w:pPr>
        <w:pStyle w:val="Heading1"/>
      </w:pPr>
      <w:r>
        <w:t>2. Current Upstream Baseline</w:t>
      </w:r>
    </w:p>
    <w:p>
      <w:pPr>
        <w:pStyle w:val="ListBullet"/>
        <w:spacing w:after="40"/>
      </w:pPr>
      <w:r>
        <w:t>Next.js 16 App Router.</w:t>
      </w:r>
    </w:p>
    <w:p>
      <w:pPr>
        <w:pStyle w:val="ListBullet"/>
        <w:spacing w:after="40"/>
      </w:pPr>
      <w:r>
        <w:t>Production PostgreSQL; embedded PGlite for local development.</w:t>
      </w:r>
    </w:p>
    <w:p>
      <w:pPr>
        <w:pStyle w:val="ListBullet"/>
        <w:spacing w:after="40"/>
      </w:pPr>
      <w:r>
        <w:t>Drizzle ORM; upstream documents schema creation/migration on boot.</w:t>
      </w:r>
    </w:p>
    <w:p>
      <w:pPr>
        <w:pStyle w:val="ListBullet"/>
        <w:spacing w:after="40"/>
      </w:pPr>
      <w:r>
        <w:t>Pluggable connectors under lib/connectors/.</w:t>
      </w:r>
    </w:p>
    <w:p>
      <w:pPr>
        <w:pStyle w:val="ListBullet"/>
        <w:spacing w:after="40"/>
      </w:pPr>
      <w:r>
        <w:t>BYOK source and AI credentials.</w:t>
      </w:r>
    </w:p>
    <w:p>
      <w:pPr>
        <w:pStyle w:val="ListBullet"/>
        <w:spacing w:after="40"/>
      </w:pPr>
      <w:r>
        <w:t>Read-only token-protected MCP endpoint at /api/mcp.</w:t>
      </w:r>
    </w:p>
    <w:p>
      <w:pPr>
        <w:pStyle w:val="ListBullet"/>
        <w:spacing w:after="40"/>
      </w:pPr>
      <w:r>
        <w:t>AGPL-3.0 license.</w:t>
      </w:r>
    </w:p>
    <w:p>
      <w:pPr>
        <w:pStyle w:val="Heading1"/>
      </w:pPr>
      <w:r>
        <w:t>3. Fork/Branch Model</w:t>
      </w:r>
    </w:p>
    <w:p>
      <w:pPr>
        <w:pStyle w:val="CodeBlock"/>
      </w:pPr>
      <w:r>
        <w:t>upstream: Scognamiglio1969/radar-intelligence</w:t>
      </w:r>
    </w:p>
    <w:p>
      <w:pPr>
        <w:pStyle w:val="CodeBlock"/>
      </w:pPr>
      <w:r>
        <w:t>origin:   your-org/polltech-radar</w:t>
      </w:r>
    </w:p>
    <w:p>
      <w:pPr>
        <w:pStyle w:val="CodeBlock"/>
      </w:pPr>
    </w:p>
    <w:p>
      <w:pPr>
        <w:pStyle w:val="CodeBlock"/>
      </w:pPr>
      <w:r>
        <w:t>main                 production fork</w:t>
      </w:r>
    </w:p>
    <w:p>
      <w:pPr>
        <w:pStyle w:val="CodeBlock"/>
      </w:pPr>
      <w:r>
        <w:t>develop              integration branch</w:t>
      </w:r>
    </w:p>
    <w:p>
      <w:pPr>
        <w:pStyle w:val="CodeBlock"/>
      </w:pPr>
      <w:r>
        <w:t>feature/*            isolated work</w:t>
      </w:r>
    </w:p>
    <w:p>
      <w:pPr>
        <w:pStyle w:val="CodeBlock"/>
      </w:pPr>
      <w:r>
        <w:t>upstream-sync/&lt;date&gt;  temporary upstream merge</w:t>
      </w:r>
    </w:p>
    <w:p/>
    <w:p>
      <w:pPr>
        <w:pStyle w:val="Heading1"/>
      </w:pPr>
      <w:r>
        <w:t>4. Change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Class</w:t>
            </w:r>
          </w:p>
        </w:tc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Examples</w:t>
            </w:r>
          </w:p>
        </w:tc>
        <w:tc>
          <w:tcPr>
            <w:tcW w:type="dxa" w:w="3389"/>
            <w:shd w:fill="2F5597"/>
          </w:tcPr>
          <w:p>
            <w:r>
              <w:rPr>
                <w:b/>
                <w:color w:val="FFFFFF"/>
              </w:rPr>
              <w:t>Policy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Configuration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Keys/models/budgets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No code.</w:t>
            </w:r>
          </w:p>
        </w:tc>
      </w:tr>
      <w:tr>
        <w:tc>
          <w:tcPr>
            <w:tcW w:type="dxa" w:w="3389"/>
            <w:shd w:fill="F5F7FA"/>
          </w:tcPr>
          <w:p>
            <w:r>
              <w:rPr>
                <w:sz w:val="16"/>
              </w:rPr>
              <w:t>Extension</w:t>
            </w:r>
          </w:p>
        </w:tc>
        <w:tc>
          <w:tcPr>
            <w:tcW w:type="dxa" w:w="3389"/>
            <w:shd w:fill="F5F7FA"/>
          </w:tcPr>
          <w:p>
            <w:r>
              <w:rPr>
                <w:sz w:val="16"/>
              </w:rPr>
              <w:t>REST integration route/new connector</w:t>
            </w:r>
          </w:p>
        </w:tc>
        <w:tc>
          <w:tcPr>
            <w:tcW w:type="dxa" w:w="3389"/>
            <w:shd w:fill="F5F7FA"/>
          </w:tcPr>
          <w:p>
            <w:r>
              <w:rPr>
                <w:sz w:val="16"/>
              </w:rPr>
              <w:t>Preferred.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Additive feature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Schedule/external reference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Allowed with tests.</w:t>
            </w:r>
          </w:p>
        </w:tc>
      </w:tr>
      <w:tr>
        <w:tc>
          <w:tcPr>
            <w:tcW w:type="dxa" w:w="3389"/>
            <w:shd w:fill="F5F7FA"/>
          </w:tcPr>
          <w:p>
            <w:r>
              <w:rPr>
                <w:sz w:val="16"/>
              </w:rPr>
              <w:t>Core rewrite</w:t>
            </w:r>
          </w:p>
        </w:tc>
        <w:tc>
          <w:tcPr>
            <w:tcW w:type="dxa" w:w="3389"/>
            <w:shd w:fill="F5F7FA"/>
          </w:tcPr>
          <w:p>
            <w:r>
              <w:rPr>
                <w:sz w:val="16"/>
              </w:rPr>
              <w:t>Archive/auth/connector engine</w:t>
            </w:r>
          </w:p>
        </w:tc>
        <w:tc>
          <w:tcPr>
            <w:tcW w:type="dxa" w:w="3389"/>
            <w:shd w:fill="F5F7FA"/>
          </w:tcPr>
          <w:p>
            <w:r>
              <w:rPr>
                <w:sz w:val="16"/>
              </w:rPr>
              <w:t>Avoid.</w:t>
            </w:r>
          </w:p>
        </w:tc>
      </w:tr>
      <w:tr>
        <w:tc>
          <w:tcPr>
            <w:tcW w:type="dxa" w:w="3389"/>
          </w:tcPr>
          <w:p>
            <w:r>
              <w:rPr>
                <w:sz w:val="16"/>
              </w:rPr>
              <w:t>UI branding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Logo/admin labels</w:t>
            </w:r>
          </w:p>
        </w:tc>
        <w:tc>
          <w:tcPr>
            <w:tcW w:type="dxa" w:w="3389"/>
          </w:tcPr>
          <w:p>
            <w:r>
              <w:rPr>
                <w:sz w:val="16"/>
              </w:rPr>
              <w:t>Low priority.</w:t>
            </w:r>
          </w:p>
        </w:tc>
      </w:tr>
    </w:tbl>
    <w:p/>
    <w:p>
      <w:pPr>
        <w:pStyle w:val="Heading1"/>
      </w:pPr>
      <w:r>
        <w:t>5. PollTech Extension Layout</w:t>
      </w:r>
    </w:p>
    <w:p>
      <w:pPr>
        <w:pStyle w:val="CodeBlock"/>
      </w:pPr>
      <w:r>
        <w:t>app/api/integration/v1/</w:t>
      </w:r>
    </w:p>
    <w:p>
      <w:pPr>
        <w:pStyle w:val="CodeBlock"/>
      </w:pPr>
      <w:r>
        <w:t xml:space="preserve">  health/ capabilities/ projects/</w:t>
      </w:r>
    </w:p>
    <w:p>
      <w:pPr>
        <w:pStyle w:val="CodeBlock"/>
      </w:pPr>
      <w:r>
        <w:t xml:space="preserve">  projects/[id]/mentions/ analytics/ collect/</w:t>
      </w:r>
    </w:p>
    <w:p>
      <w:pPr>
        <w:pStyle w:val="CodeBlock"/>
      </w:pPr>
    </w:p>
    <w:p>
      <w:pPr>
        <w:pStyle w:val="CodeBlock"/>
      </w:pPr>
      <w:r>
        <w:t>lib/integration/</w:t>
      </w:r>
    </w:p>
    <w:p>
      <w:pPr>
        <w:pStyle w:val="CodeBlock"/>
      </w:pPr>
      <w:r>
        <w:t xml:space="preserve">  auth.ts validation.ts response.ts</w:t>
      </w:r>
    </w:p>
    <w:p>
      <w:pPr>
        <w:pStyle w:val="CodeBlock"/>
      </w:pPr>
      <w:r>
        <w:t xml:space="preserve">  project-service.ts mention-service.ts analytics-service.ts types.ts</w:t>
      </w:r>
    </w:p>
    <w:p>
      <w:pPr>
        <w:pStyle w:val="CodeBlock"/>
      </w:pPr>
    </w:p>
    <w:p>
      <w:pPr>
        <w:pStyle w:val="CodeBlock"/>
      </w:pPr>
      <w:r>
        <w:t>tests/integration/</w:t>
      </w:r>
    </w:p>
    <w:p>
      <w:pPr>
        <w:pStyle w:val="CodeBlock"/>
      </w:pPr>
      <w:r>
        <w:t xml:space="preserve">  auth.test.ts projects.test.ts mentions.test.ts paging.test.ts</w:t>
      </w:r>
    </w:p>
    <w:p/>
    <w:p>
      <w:pPr>
        <w:pStyle w:val="Heading1"/>
      </w:pPr>
      <w:r>
        <w:t>6. E1 - Stable Integration API</w:t>
      </w:r>
    </w:p>
    <w:p>
      <w:pPr>
        <w:pStyle w:val="ListBullet"/>
        <w:spacing w:after="40"/>
      </w:pPr>
      <w:r>
        <w:t>Wrap Radar application services, not raw SQL.</w:t>
      </w:r>
    </w:p>
    <w:p>
      <w:pPr>
        <w:pStyle w:val="ListBullet"/>
        <w:spacing w:after="40"/>
      </w:pPr>
      <w:r>
        <w:t>Version /api/integration/v1.</w:t>
      </w:r>
    </w:p>
    <w:p>
      <w:pPr>
        <w:pStyle w:val="ListBullet"/>
        <w:spacing w:after="40"/>
      </w:pPr>
      <w:r>
        <w:t>Cursor pagination for mentions.</w:t>
      </w:r>
    </w:p>
    <w:p>
      <w:pPr>
        <w:pStyle w:val="ListBullet"/>
        <w:spacing w:after="40"/>
      </w:pPr>
      <w:r>
        <w:t>Stable external IDs and source provenance.</w:t>
      </w:r>
    </w:p>
    <w:p>
      <w:pPr>
        <w:pStyle w:val="ListBullet"/>
        <w:spacing w:after="40"/>
      </w:pPr>
      <w:r>
        <w:t>Consistent error envelope/correlation ID.</w:t>
      </w:r>
    </w:p>
    <w:p>
      <w:pPr>
        <w:pStyle w:val="ListBullet"/>
        <w:spacing w:after="40"/>
      </w:pPr>
      <w:r>
        <w:t>Contract tests for upstream merge protection.</w:t>
      </w:r>
    </w:p>
    <w:p>
      <w:pPr>
        <w:pStyle w:val="ListBullet"/>
        <w:spacing w:after="40"/>
      </w:pPr>
      <w:r>
        <w:t>Never expose credentials/AI keys/database details.</w:t>
      </w:r>
    </w:p>
    <w:p>
      <w:pPr>
        <w:pStyle w:val="Heading1"/>
      </w:pPr>
      <w:r>
        <w:t>7. E2 - Integration Authentication</w:t>
      </w:r>
    </w:p>
    <w:p>
      <w:pPr>
        <w:pStyle w:val="CodeBlock"/>
      </w:pPr>
      <w:r>
        <w:t>Authorization: Bearer &lt;POLLTECH_RADAR_INTEGRATION_TOKEN&gt;</w:t>
      </w:r>
    </w:p>
    <w:p>
      <w:pPr>
        <w:pStyle w:val="CodeBlock"/>
      </w:pPr>
      <w:r>
        <w:t>X-Correlation-Id: &lt;uuid&gt;</w:t>
      </w:r>
    </w:p>
    <w:p>
      <w:pPr>
        <w:pStyle w:val="CodeBlock"/>
      </w:pPr>
      <w:r>
        <w:t>Idempotency-Key: &lt;uuid&gt;  # mutating triggers where relevant</w:t>
      </w:r>
    </w:p>
    <w:p/>
    <w:p>
      <w:pPr>
        <w:pStyle w:val="ListBullet"/>
        <w:spacing w:after="40"/>
      </w:pPr>
      <w:r>
        <w:t>Dedicated token separate from RADAR_MCP_TOKEN.</w:t>
      </w:r>
    </w:p>
    <w:p>
      <w:pPr>
        <w:pStyle w:val="ListBullet"/>
        <w:spacing w:after="40"/>
      </w:pPr>
      <w:r>
        <w:t>Rate-limit routes and audit project changes/collection triggers.</w:t>
      </w:r>
    </w:p>
    <w:p>
      <w:pPr>
        <w:pStyle w:val="ListBullet"/>
        <w:spacing w:after="40"/>
      </w:pPr>
      <w:r>
        <w:t>Support token rotation.</w:t>
      </w:r>
    </w:p>
    <w:p>
      <w:pPr>
        <w:pStyle w:val="Heading1"/>
      </w:pPr>
      <w:r>
        <w:t>8. E3 - Project Provisioning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PollTech</w:t>
            </w:r>
          </w:p>
        </w:tc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Radar mapping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monitoringId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External correlation metadata.</w:t>
            </w:r>
          </w:p>
        </w:tc>
      </w:tr>
      <w:tr>
        <w:tc>
          <w:tcPr>
            <w:tcW w:type="dxa" w:w="5083"/>
            <w:shd w:fill="F5F7FA"/>
          </w:tcPr>
          <w:p>
            <w:r>
              <w:rPr>
                <w:sz w:val="16"/>
              </w:rPr>
              <w:t>display name</w:t>
            </w:r>
          </w:p>
        </w:tc>
        <w:tc>
          <w:tcPr>
            <w:tcW w:type="dxa" w:w="5083"/>
            <w:shd w:fill="F5F7FA"/>
          </w:tcPr>
          <w:p>
            <w:r>
              <w:rPr>
                <w:sz w:val="16"/>
              </w:rPr>
              <w:t>Project name.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aliases/keywords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Query blocks/terms.</w:t>
            </w:r>
          </w:p>
        </w:tc>
      </w:tr>
      <w:tr>
        <w:tc>
          <w:tcPr>
            <w:tcW w:type="dxa" w:w="5083"/>
            <w:shd w:fill="F5F7FA"/>
          </w:tcPr>
          <w:p>
            <w:r>
              <w:rPr>
                <w:sz w:val="16"/>
              </w:rPr>
              <w:t>languages</w:t>
            </w:r>
          </w:p>
        </w:tc>
        <w:tc>
          <w:tcPr>
            <w:tcW w:type="dxa" w:w="5083"/>
            <w:shd w:fill="F5F7FA"/>
          </w:tcPr>
          <w:p>
            <w:r>
              <w:rPr>
                <w:sz w:val="16"/>
              </w:rPr>
              <w:t>Project/query language settings.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enabled sources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Source selection/capabilities.</w:t>
            </w:r>
          </w:p>
        </w:tc>
      </w:tr>
      <w:tr>
        <w:tc>
          <w:tcPr>
            <w:tcW w:type="dxa" w:w="5083"/>
            <w:shd w:fill="F5F7FA"/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5083"/>
            <w:shd w:fill="F5F7FA"/>
          </w:tcPr>
          <w:p>
            <w:r>
              <w:rPr>
                <w:sz w:val="16"/>
              </w:rPr>
              <w:t>Safe enable/disable semantics.</w:t>
            </w:r>
          </w:p>
        </w:tc>
      </w:tr>
    </w:tbl>
    <w:p/>
    <w:p>
      <w:r>
        <w:t>AI query generation remains optional; approved manual terms must work without an AI call.</w:t>
      </w:r>
    </w:p>
    <w:p>
      <w:pPr>
        <w:pStyle w:val="Heading1"/>
      </w:pPr>
      <w:r>
        <w:t>9. E4 - Collection Control/Scheduling</w:t>
      </w:r>
    </w:p>
    <w:p>
      <w:r>
        <w:t>First expose status and a controlled trigger. Add per-source scheduling only if current Radar behavior is insufficient. Extend the current orchestration entry point; do not hide timers inside connectors.</w:t>
      </w:r>
    </w:p>
    <w:p>
      <w:pPr>
        <w:pStyle w:val="CodeBlock"/>
      </w:pPr>
      <w:r>
        <w:t>CollectionSchedule</w:t>
      </w:r>
    </w:p>
    <w:p>
      <w:pPr>
        <w:pStyle w:val="CodeBlock"/>
      </w:pPr>
      <w:r>
        <w:t xml:space="preserve">  projectId, sourceCode</w:t>
      </w:r>
    </w:p>
    <w:p>
      <w:pPr>
        <w:pStyle w:val="CodeBlock"/>
      </w:pPr>
      <w:r>
        <w:t xml:space="preserve">  mode: interval | cron | manual</w:t>
      </w:r>
    </w:p>
    <w:p>
      <w:pPr>
        <w:pStyle w:val="CodeBlock"/>
      </w:pPr>
      <w:r>
        <w:t xml:space="preserve">  expression, timezone, enabled</w:t>
      </w:r>
    </w:p>
    <w:p>
      <w:pPr>
        <w:pStyle w:val="CodeBlock"/>
      </w:pPr>
      <w:r>
        <w:t xml:space="preserve">  nextRunAt, lastRunAt, maxRunDuration</w:t>
      </w:r>
    </w:p>
    <w:p/>
    <w:p>
      <w:pPr>
        <w:pStyle w:val="Heading1"/>
      </w:pPr>
      <w:r>
        <w:t>10. E5 - Generic Web Connector (Optional)</w:t>
      </w:r>
    </w:p>
    <w:p>
      <w:r>
        <w:t>Only for approved public sites. Never bypass authentication, CAPTCHAs, access controls or platform restrictions.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Setting</w:t>
            </w:r>
          </w:p>
        </w:tc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startUrls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Approved public entry points.</w:t>
            </w:r>
          </w:p>
        </w:tc>
      </w:tr>
      <w:tr>
        <w:tc>
          <w:tcPr>
            <w:tcW w:type="dxa" w:w="5083"/>
            <w:shd w:fill="F5F7FA"/>
          </w:tcPr>
          <w:p>
            <w:r>
              <w:rPr>
                <w:sz w:val="16"/>
              </w:rPr>
              <w:t>item/link selectors</w:t>
            </w:r>
          </w:p>
        </w:tc>
        <w:tc>
          <w:tcPr>
            <w:tcW w:type="dxa" w:w="5083"/>
            <w:shd w:fill="F5F7FA"/>
          </w:tcPr>
          <w:p>
            <w:r>
              <w:rPr>
                <w:sz w:val="16"/>
              </w:rPr>
              <w:t>Discover details.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title/content/date/author selectors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Extract fields.</w:t>
            </w:r>
          </w:p>
        </w:tc>
      </w:tr>
      <w:tr>
        <w:tc>
          <w:tcPr>
            <w:tcW w:type="dxa" w:w="5083"/>
            <w:shd w:fill="F5F7FA"/>
          </w:tcPr>
          <w:p>
            <w:r>
              <w:rPr>
                <w:sz w:val="16"/>
              </w:rPr>
              <w:t>pagination</w:t>
            </w:r>
          </w:p>
        </w:tc>
        <w:tc>
          <w:tcPr>
            <w:tcW w:type="dxa" w:w="5083"/>
            <w:shd w:fill="F5F7FA"/>
          </w:tcPr>
          <w:p>
            <w:r>
              <w:rPr>
                <w:sz w:val="16"/>
              </w:rPr>
              <w:t>Bounded next-page behavior.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minInterval/maxPages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Load control.</w:t>
            </w:r>
          </w:p>
        </w:tc>
      </w:tr>
      <w:tr>
        <w:tc>
          <w:tcPr>
            <w:tcW w:type="dxa" w:w="5083"/>
            <w:shd w:fill="F5F7FA"/>
          </w:tcPr>
          <w:p>
            <w:r>
              <w:rPr>
                <w:sz w:val="16"/>
              </w:rPr>
              <w:t>approval metadata</w:t>
            </w:r>
          </w:p>
        </w:tc>
        <w:tc>
          <w:tcPr>
            <w:tcW w:type="dxa" w:w="5083"/>
            <w:shd w:fill="F5F7FA"/>
          </w:tcPr>
          <w:p>
            <w:r>
              <w:rPr>
                <w:sz w:val="16"/>
              </w:rPr>
              <w:t>Records policy/administrative approval.</w:t>
            </w:r>
          </w:p>
        </w:tc>
      </w:tr>
    </w:tbl>
    <w:p/>
    <w:p>
      <w:pPr>
        <w:pStyle w:val="Heading1"/>
      </w:pPr>
      <w:r>
        <w:t>11. E6 - Export/Lineage</w:t>
      </w:r>
    </w:p>
    <w:p>
      <w:pPr>
        <w:pStyle w:val="ListBullet"/>
        <w:spacing w:after="40"/>
      </w:pPr>
      <w:r>
        <w:t>Radar mention/source-native ID where available.</w:t>
      </w:r>
    </w:p>
    <w:p>
      <w:pPr>
        <w:pStyle w:val="ListBullet"/>
        <w:spacing w:after="40"/>
      </w:pPr>
      <w:r>
        <w:t>Source/acquisition type/canonical URL.</w:t>
      </w:r>
    </w:p>
    <w:p>
      <w:pPr>
        <w:pStyle w:val="ListBullet"/>
        <w:spacing w:after="40"/>
      </w:pPr>
      <w:r>
        <w:t>Published and collected timestamps.</w:t>
      </w:r>
    </w:p>
    <w:p>
      <w:pPr>
        <w:pStyle w:val="ListBullet"/>
        <w:spacing w:after="40"/>
      </w:pPr>
      <w:r>
        <w:t>Text/author metadata as allowed.</w:t>
      </w:r>
    </w:p>
    <w:p>
      <w:pPr>
        <w:pStyle w:val="ListBullet"/>
        <w:spacing w:after="40"/>
      </w:pPr>
      <w:r>
        <w:t>Query tags/matches.</w:t>
      </w:r>
    </w:p>
    <w:p>
      <w:pPr>
        <w:pStyle w:val="ListBullet"/>
        <w:spacing w:after="40"/>
      </w:pPr>
      <w:r>
        <w:t>Engagement observations.</w:t>
      </w:r>
    </w:p>
    <w:p>
      <w:pPr>
        <w:pStyle w:val="ListBullet"/>
        <w:spacing w:after="40"/>
      </w:pPr>
      <w:r>
        <w:t>AI label/model/provider/version provenance.</w:t>
      </w:r>
    </w:p>
    <w:p>
      <w:pPr>
        <w:pStyle w:val="ListBullet"/>
        <w:spacing w:after="40"/>
      </w:pPr>
      <w:r>
        <w:t>Radar project ID and API version.</w:t>
      </w:r>
    </w:p>
    <w:p>
      <w:pPr>
        <w:pStyle w:val="Heading1"/>
      </w:pPr>
      <w:r>
        <w:t>12. AI Rules</w:t>
      </w:r>
    </w:p>
    <w:p>
      <w:pPr>
        <w:pStyle w:val="ListBullet"/>
        <w:spacing w:after="40"/>
      </w:pPr>
      <w:r>
        <w:t>Retain Radar provider abstraction.</w:t>
      </w:r>
    </w:p>
    <w:p>
      <w:pPr>
        <w:pStyle w:val="ListBullet"/>
        <w:spacing w:after="40"/>
      </w:pPr>
      <w:r>
        <w:t>Collection must continue when AI is disabled/budget-limited.</w:t>
      </w:r>
    </w:p>
    <w:p>
      <w:pPr>
        <w:pStyle w:val="ListBullet"/>
        <w:spacing w:after="40"/>
      </w:pPr>
      <w:r>
        <w:t>Export provenance needed by PollTech.</w:t>
      </w:r>
    </w:p>
    <w:p>
      <w:pPr>
        <w:pStyle w:val="ListBullet"/>
        <w:spacing w:after="40"/>
      </w:pPr>
      <w:r>
        <w:t>Manual query configuration must not require AI.</w:t>
      </w:r>
    </w:p>
    <w:p>
      <w:pPr>
        <w:pStyle w:val="ListBullet"/>
        <w:spacing w:after="40"/>
      </w:pPr>
      <w:r>
        <w:t>Do not add personalized political persuasion, voter targeting, voting recommendations or election-winner prediction.</w:t>
      </w:r>
    </w:p>
    <w:p>
      <w:pPr>
        <w:pStyle w:val="Heading1"/>
      </w:pPr>
      <w:r>
        <w:t>13. Database and Testing Rules</w:t>
      </w:r>
    </w:p>
    <w:p>
      <w:pPr>
        <w:pStyle w:val="ListBullet"/>
        <w:spacing w:after="40"/>
      </w:pPr>
      <w:r>
        <w:t>Follow current Drizzle conventions.</w:t>
      </w:r>
    </w:p>
    <w:p>
      <w:pPr>
        <w:pStyle w:val="ListBullet"/>
        <w:spacing w:after="40"/>
      </w:pPr>
      <w:r>
        <w:t>Prefer additive schema changes; do not rename upstream fields for PollTech naming.</w:t>
      </w:r>
    </w:p>
    <w:p>
      <w:pPr>
        <w:pStyle w:val="ListBullet"/>
        <w:spacing w:after="40"/>
      </w:pPr>
      <w:r>
        <w:t>Back up production PostgreSQL before schema-affecting releases.</w:t>
      </w:r>
    </w:p>
    <w:p>
      <w:pPr>
        <w:pStyle w:val="ListBullet"/>
        <w:spacing w:after="40"/>
      </w:pPr>
      <w:r>
        <w:t>Test boot/migration on disposable PostgreSQL.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Test layer</w:t>
            </w:r>
          </w:p>
        </w:tc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Coverage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Unit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Mapping/validation/auth.</w:t>
            </w:r>
          </w:p>
        </w:tc>
      </w:tr>
      <w:tr>
        <w:tc>
          <w:tcPr>
            <w:tcW w:type="dxa" w:w="5083"/>
            <w:shd w:fill="F5F7FA"/>
          </w:tcPr>
          <w:p>
            <w:r>
              <w:rPr>
                <w:sz w:val="16"/>
              </w:rPr>
              <w:t>Contract</w:t>
            </w:r>
          </w:p>
        </w:tc>
        <w:tc>
          <w:tcPr>
            <w:tcW w:type="dxa" w:w="5083"/>
            <w:shd w:fill="F5F7FA"/>
          </w:tcPr>
          <w:p>
            <w:r>
              <w:rPr>
                <w:sz w:val="16"/>
              </w:rPr>
              <w:t>API schemas/errors.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Connector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Mock/recorded + opt-in live.</w:t>
            </w:r>
          </w:p>
        </w:tc>
      </w:tr>
      <w:tr>
        <w:tc>
          <w:tcPr>
            <w:tcW w:type="dxa" w:w="5083"/>
            <w:shd w:fill="F5F7FA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5083"/>
            <w:shd w:fill="F5F7FA"/>
          </w:tcPr>
          <w:p>
            <w:r>
              <w:rPr>
                <w:sz w:val="16"/>
              </w:rPr>
              <w:t>Invalid token/secret redaction.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Resilience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429/timeouts/duplicate trigger.</w:t>
            </w:r>
          </w:p>
        </w:tc>
      </w:tr>
      <w:tr>
        <w:tc>
          <w:tcPr>
            <w:tcW w:type="dxa" w:w="5083"/>
            <w:shd w:fill="F5F7FA"/>
          </w:tcPr>
          <w:p>
            <w:r>
              <w:rPr>
                <w:sz w:val="16"/>
              </w:rPr>
              <w:t>Regression</w:t>
            </w:r>
          </w:p>
        </w:tc>
        <w:tc>
          <w:tcPr>
            <w:tcW w:type="dxa" w:w="5083"/>
            <w:shd w:fill="F5F7FA"/>
          </w:tcPr>
          <w:p>
            <w:r>
              <w:rPr>
                <w:sz w:val="16"/>
              </w:rPr>
              <w:t>Existing Radar Listening/UI/dashboard.</w:t>
            </w:r>
          </w:p>
        </w:tc>
      </w:tr>
    </w:tbl>
    <w:p/>
    <w:p>
      <w:pPr>
        <w:pStyle w:val="Heading1"/>
      </w:pPr>
      <w:r>
        <w:t>14. Upstream Upgrade Procedure</w:t>
      </w:r>
    </w:p>
    <w:p>
      <w:pPr>
        <w:pStyle w:val="ListNumber"/>
        <w:spacing w:after="40"/>
      </w:pPr>
      <w:r>
        <w:t>Read CHANGELOG and dependency/schema changes.</w:t>
      </w:r>
    </w:p>
    <w:p>
      <w:pPr>
        <w:pStyle w:val="ListNumber"/>
        <w:spacing w:after="40"/>
      </w:pPr>
      <w:r>
        <w:t>Merge upstream/main into upstream-sync branch.</w:t>
      </w:r>
    </w:p>
    <w:p>
      <w:pPr>
        <w:pStyle w:val="ListNumber"/>
        <w:spacing w:after="40"/>
      </w:pPr>
      <w:r>
        <w:t>Resolve conflicts while preserving integration tests.</w:t>
      </w:r>
    </w:p>
    <w:p>
      <w:pPr>
        <w:pStyle w:val="ListNumber"/>
        <w:spacing w:after="40"/>
      </w:pPr>
      <w:r>
        <w:t>Run scripts defined by selected package.json.</w:t>
      </w:r>
    </w:p>
    <w:p>
      <w:pPr>
        <w:pStyle w:val="ListNumber"/>
        <w:spacing w:after="40"/>
      </w:pPr>
      <w:r>
        <w:t>Boot against disposable DB.</w:t>
      </w:r>
    </w:p>
    <w:p>
      <w:pPr>
        <w:pStyle w:val="ListNumber"/>
        <w:spacing w:after="40"/>
      </w:pPr>
      <w:r>
        <w:t>Run PollTech API contract and Listening regression tests.</w:t>
      </w:r>
    </w:p>
    <w:p>
      <w:pPr>
        <w:pStyle w:val="ListNumber"/>
        <w:spacing w:after="40"/>
      </w:pPr>
      <w:r>
        <w:t>Promote only with backup/rollback plan.</w:t>
      </w:r>
    </w:p>
    <w:p>
      <w:pPr>
        <w:pStyle w:val="Heading1"/>
      </w:pPr>
      <w:r>
        <w:t>15. Priority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Item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Integration auth + health/capabilities + cursor mentions.</w:t>
            </w:r>
          </w:p>
        </w:tc>
      </w:tr>
      <w:tr>
        <w:tc>
          <w:tcPr>
            <w:tcW w:type="dxa" w:w="5083"/>
            <w:shd w:fill="F5F7FA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5083"/>
            <w:shd w:fill="F5F7FA"/>
          </w:tcPr>
          <w:p>
            <w:r>
              <w:rPr>
                <w:sz w:val="16"/>
              </w:rPr>
              <w:t>Project provisioning + collection status/trigger + AI provenance.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Per-source scheduling if required.</w:t>
            </w:r>
          </w:p>
        </w:tc>
      </w:tr>
      <w:tr>
        <w:tc>
          <w:tcPr>
            <w:tcW w:type="dxa" w:w="5083"/>
            <w:shd w:fill="F5F7FA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5083"/>
            <w:shd w:fill="F5F7FA"/>
          </w:tcPr>
          <w:p>
            <w:r>
              <w:rPr>
                <w:sz w:val="16"/>
              </w:rPr>
              <w:t>Generic approved-web connector.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UI branding.</w:t>
            </w:r>
          </w:p>
        </w:tc>
      </w:tr>
    </w:tbl>
    <w:p/>
    <w:p>
      <w:pPr>
        <w:pStyle w:val="Heading1"/>
      </w:pPr>
      <w:r>
        <w:t>16. Definition of Done</w:t>
      </w:r>
    </w:p>
    <w:p>
      <w:pPr>
        <w:pStyle w:val="ListBullet"/>
        <w:spacing w:after="40"/>
      </w:pPr>
      <w:r>
        <w:t>PollTech changes isolated/documented.</w:t>
      </w:r>
    </w:p>
    <w:p>
      <w:pPr>
        <w:pStyle w:val="ListBullet"/>
        <w:spacing w:after="40"/>
      </w:pPr>
      <w:r>
        <w:t>Upstream merges practical.</w:t>
      </w:r>
    </w:p>
    <w:p>
      <w:pPr>
        <w:pStyle w:val="ListBullet"/>
        <w:spacing w:after="40"/>
      </w:pPr>
      <w:r>
        <w:t>API authenticated/versioned/contract-tested.</w:t>
      </w:r>
    </w:p>
    <w:p>
      <w:pPr>
        <w:pStyle w:val="ListBullet"/>
        <w:spacing w:after="40"/>
      </w:pPr>
      <w:r>
        <w:t>No PollTech direct DB access.</w:t>
      </w:r>
    </w:p>
    <w:p>
      <w:pPr>
        <w:pStyle w:val="ListBullet"/>
        <w:spacing w:after="40"/>
      </w:pPr>
      <w:r>
        <w:t>Existing Radar behavior regresses cleanly.</w:t>
      </w:r>
    </w:p>
    <w:p>
      <w:pPr>
        <w:pStyle w:val="ListBullet"/>
        <w:spacing w:after="40"/>
      </w:pPr>
      <w:r>
        <w:t>License notices and modified-source obligations preserved.</w:t>
      </w:r>
    </w:p>
    <w:p>
      <w:pPr>
        <w:pStyle w:val="Heading1"/>
      </w:pPr>
      <w:r>
        <w:t>References and Source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5083"/>
            <w:shd w:fill="2F5597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https://github.com/Scognamiglio1969/radar-intelligence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Current Radar source, structure and AGPL-3.0 license.</w:t>
            </w:r>
          </w:p>
        </w:tc>
      </w:tr>
      <w:tr>
        <w:tc>
          <w:tcPr>
            <w:tcW w:type="dxa" w:w="5083"/>
            <w:shd w:fill="F5F7FA"/>
          </w:tcPr>
          <w:p>
            <w:r>
              <w:rPr>
                <w:sz w:val="16"/>
              </w:rPr>
              <w:t>https://github.com/Scognamiglio1969/radar-intelligence/blob/main/README.md</w:t>
            </w:r>
          </w:p>
        </w:tc>
        <w:tc>
          <w:tcPr>
            <w:tcW w:type="dxa" w:w="5083"/>
            <w:shd w:fill="F5F7FA"/>
          </w:tcPr>
          <w:p>
            <w:r>
              <w:rPr>
                <w:sz w:val="16"/>
              </w:rPr>
              <w:t>Architecture, connectors, DB model, BYOK, production variables and MCP.</w:t>
            </w:r>
          </w:p>
        </w:tc>
      </w:tr>
      <w:tr>
        <w:tc>
          <w:tcPr>
            <w:tcW w:type="dxa" w:w="5083"/>
          </w:tcPr>
          <w:p>
            <w:r>
              <w:rPr>
                <w:sz w:val="16"/>
              </w:rPr>
              <w:t>https://github.com/Scognamiglio1969/radar-intelligence/blob/main/CONTRIBUTING.md</w:t>
            </w:r>
          </w:p>
        </w:tc>
        <w:tc>
          <w:tcPr>
            <w:tcW w:type="dxa" w:w="5083"/>
          </w:tcPr>
          <w:p>
            <w:r>
              <w:rPr>
                <w:sz w:val="16"/>
              </w:rPr>
              <w:t>Review before connector changes.</w:t>
            </w:r>
          </w:p>
        </w:tc>
      </w:tr>
      <w:tr>
        <w:tc>
          <w:tcPr>
            <w:tcW w:type="dxa" w:w="5083"/>
            <w:shd w:fill="F5F7FA"/>
          </w:tcPr>
          <w:p>
            <w:r>
              <w:rPr>
                <w:sz w:val="16"/>
              </w:rPr>
              <w:t>https://www.gnu.org/licenses/agpl-3.0.html</w:t>
            </w:r>
          </w:p>
        </w:tc>
        <w:tc>
          <w:tcPr>
            <w:tcW w:type="dxa" w:w="5083"/>
            <w:shd w:fill="F5F7FA"/>
          </w:tcPr>
          <w:p>
            <w:r>
              <w:rPr>
                <w:sz w:val="16"/>
              </w:rPr>
              <w:t>License text; obtain legal review for commercial/network-service use.</w:t>
            </w:r>
          </w:p>
        </w:tc>
      </w:tr>
    </w:tbl>
    <w:p/>
    <w:p>
      <w:r>
        <w:t>Radar evolves. Validate route names, scripts, environment variables and schema behavior against the exact approved commit/tag.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PollTech / Radar Technical Baseline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Technical Design 2 - Radar Enhancements and Customization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259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