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The design of this website does not have the grand atmosphere on the market, but there is an old Chinese saying, "Although a sparrow is small, it has all the viscera". This means that even if something is small, it covers everything you need.</w:t>
      </w:r>
      <w:r>
        <w:rPr>
          <w:rFonts w:hint="eastAsia" w:ascii="Times New Roman" w:hAnsi="Times New Roman" w:cs="Times New Roman"/>
          <w:b w:val="0"/>
          <w:bCs w:val="0"/>
          <w:i w:val="0"/>
          <w:iCs w:val="0"/>
          <w:sz w:val="24"/>
          <w:szCs w:val="24"/>
          <w:lang w:val="en-US" w:eastAsia="zh-CN"/>
        </w:rPr>
        <w:t xml:space="preserve"> Just like the website I designed this time, I want to make a fruit mall. Naturally, as a big country of agricultural trade, China does not lack fruits, but the export quantity of fruits has been increasing in recent years, so I want to make a website of fruit mall, and introduce some fruit prices and their impressions to you. I specifically collected the price of fruit per kilogram in Finnish supermarkets on the Internet, and made the design of the corresponding amount of money. The specific operation and procedure operation are described in the report, and I will not repeat them here.</w:t>
      </w:r>
      <w:r>
        <w:rPr>
          <w:rFonts w:hint="eastAsia" w:ascii="Times New Roman" w:hAnsi="Times New Roman" w:cs="Times New Roman"/>
          <w:b w:val="0"/>
          <w:bCs w:val="0"/>
          <w:i w:val="0"/>
          <w:iCs w:val="0"/>
          <w:sz w:val="24"/>
          <w:szCs w:val="24"/>
          <w:lang w:val="en-US" w:eastAsia="zh-CN"/>
        </w:rPr>
        <w:t xml:space="preserve"> The following images are some of my initial design ideas.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sz w:val="30"/>
          <w:szCs w:val="30"/>
          <w:lang w:val="en-US" w:eastAsia="zh-CN"/>
        </w:rPr>
      </w:pP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4"/>
          <w:lang w:val="en-US" w:eastAsia="zh-CN"/>
        </w:rPr>
      </w:pPr>
      <w:r>
        <w:rPr>
          <w:rFonts w:hint="eastAsia" w:ascii="Times New Roman" w:hAnsi="Times New Roman" w:cs="Times New Roman"/>
          <w:b/>
          <w:bCs/>
          <w:sz w:val="30"/>
          <w:szCs w:val="30"/>
          <w:lang w:val="en-US" w:eastAsia="zh-CN"/>
        </w:rPr>
        <w:t>Make the initial idea for the interface design of the web page: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navigation bar and shortcut keys of the home page are shown in Figure 1.</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i/>
          <w:iCs/>
          <w:sz w:val="20"/>
          <w:szCs w:val="22"/>
          <w:lang w:val="en-US" w:eastAsia="zh-CN"/>
        </w:rPr>
      </w:pPr>
      <w:r>
        <w:rPr>
          <w:rFonts w:hint="eastAsia"/>
          <w:i/>
          <w:iCs/>
          <w:sz w:val="20"/>
          <w:szCs w:val="22"/>
          <w:lang w:val="en-US" w:eastAsia="zh-CN"/>
        </w:rPr>
        <w:drawing>
          <wp:inline distT="0" distB="0" distL="114300" distR="114300">
            <wp:extent cx="5273040" cy="782955"/>
            <wp:effectExtent l="12700" t="12700" r="1778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782955"/>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i/>
          <w:iCs/>
          <w:sz w:val="20"/>
          <w:szCs w:val="22"/>
          <w:lang w:val="en-US" w:eastAsia="zh-CN"/>
        </w:rPr>
      </w:pPr>
      <w:r>
        <w:rPr>
          <w:rFonts w:hint="eastAsia"/>
          <w:i/>
          <w:iCs/>
          <w:sz w:val="20"/>
          <w:szCs w:val="22"/>
          <w:lang w:val="en-US" w:eastAsia="zh-CN"/>
        </w:rPr>
        <w:t>Figure1 navigation bar</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i/>
          <w:iCs/>
          <w:sz w:val="20"/>
          <w:szCs w:val="2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homepage interface design is shown in </w:t>
      </w:r>
      <w:r>
        <w:rPr>
          <w:rFonts w:hint="eastAsia" w:ascii="Times New Roman" w:hAnsi="Times New Roman" w:cs="Times New Roman"/>
          <w:sz w:val="24"/>
          <w:szCs w:val="24"/>
          <w:lang w:val="en-US" w:eastAsia="zh-CN"/>
        </w:rPr>
        <w:t>Figure2</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i/>
          <w:iCs/>
          <w:sz w:val="20"/>
          <w:szCs w:val="22"/>
          <w:lang w:val="en-US" w:eastAsia="zh-CN"/>
        </w:rPr>
      </w:pPr>
      <w:r>
        <w:rPr>
          <w:rFonts w:hint="eastAsia"/>
          <w:i/>
          <w:iCs/>
          <w:sz w:val="20"/>
          <w:szCs w:val="22"/>
          <w:lang w:val="en-US" w:eastAsia="zh-CN"/>
        </w:rPr>
        <w:drawing>
          <wp:inline distT="0" distB="0" distL="114300" distR="114300">
            <wp:extent cx="5271135" cy="293370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29337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4"/>
          <w:lang w:val="en-US" w:eastAsia="zh-CN"/>
        </w:rPr>
      </w:pPr>
      <w:r>
        <w:rPr>
          <w:rFonts w:hint="eastAsia"/>
          <w:i/>
          <w:iCs/>
          <w:sz w:val="20"/>
          <w:szCs w:val="22"/>
          <w:lang w:val="en-US" w:eastAsia="zh-CN"/>
        </w:rPr>
        <w:t>Figure2 Home Page</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pPr>
      <w:r>
        <w:rPr>
          <w:rFonts w:hint="eastAsia" w:ascii="Times New Roman" w:hAnsi="Times New Roman" w:cs="Times New Roman"/>
          <w:sz w:val="24"/>
          <w:szCs w:val="24"/>
          <w:lang w:val="en-US" w:eastAsia="zh-CN"/>
        </w:rPr>
        <w:t>The commodity display interface is shown in Figure 3.</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i/>
          <w:iCs/>
          <w:sz w:val="20"/>
          <w:szCs w:val="22"/>
          <w:lang w:val="en-US" w:eastAsia="zh-CN"/>
        </w:rPr>
      </w:pPr>
      <w:r>
        <w:drawing>
          <wp:inline distT="0" distB="0" distL="114300" distR="114300">
            <wp:extent cx="5266690" cy="293814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690" cy="2938145"/>
                    </a:xfrm>
                    <a:prstGeom prst="rect">
                      <a:avLst/>
                    </a:prstGeom>
                    <a:noFill/>
                    <a:ln>
                      <a:noFill/>
                    </a:ln>
                  </pic:spPr>
                </pic:pic>
              </a:graphicData>
            </a:graphic>
          </wp:inline>
        </w:drawing>
      </w:r>
      <w:r>
        <w:rPr>
          <w:rFonts w:hint="eastAsia"/>
          <w:i/>
          <w:iCs/>
          <w:sz w:val="20"/>
          <w:szCs w:val="22"/>
          <w:lang w:val="en-US" w:eastAsia="zh-CN"/>
        </w:rPr>
        <w:t>Figure 3 display interface</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i/>
          <w:iCs/>
          <w:sz w:val="20"/>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order design interface is shown in Figure 4.</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i/>
          <w:iCs/>
          <w:sz w:val="20"/>
          <w:szCs w:val="22"/>
          <w:lang w:val="en-US" w:eastAsia="zh-CN"/>
        </w:rPr>
      </w:pPr>
      <w:r>
        <w:rPr>
          <w:rFonts w:hint="eastAsia"/>
          <w:i/>
          <w:iCs/>
          <w:sz w:val="20"/>
          <w:szCs w:val="22"/>
          <w:lang w:val="en-US" w:eastAsia="zh-CN"/>
        </w:rPr>
        <w:drawing>
          <wp:inline distT="0" distB="0" distL="114300" distR="114300">
            <wp:extent cx="5264785" cy="2634615"/>
            <wp:effectExtent l="12700" t="12700" r="26035" b="196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4785" cy="2634615"/>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4"/>
          <w:lang w:val="en-US" w:eastAsia="zh-CN"/>
        </w:rPr>
      </w:pPr>
      <w:r>
        <w:rPr>
          <w:rFonts w:hint="eastAsia"/>
          <w:i/>
          <w:iCs/>
          <w:sz w:val="20"/>
          <w:szCs w:val="22"/>
          <w:lang w:val="en-US" w:eastAsia="zh-CN"/>
        </w:rPr>
        <w:t>Figure 4 order</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basket design interface is shown in </w:t>
      </w:r>
      <w:r>
        <w:rPr>
          <w:rFonts w:hint="eastAsia" w:ascii="Times New Roman" w:hAnsi="Times New Roman" w:cs="Times New Roman"/>
          <w:sz w:val="24"/>
          <w:szCs w:val="24"/>
          <w:lang w:val="en-US" w:eastAsia="zh-CN"/>
        </w:rPr>
        <w:t>Figure 5.</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pPr>
      <w:r>
        <w:drawing>
          <wp:inline distT="0" distB="0" distL="114300" distR="114300">
            <wp:extent cx="5266055" cy="2748915"/>
            <wp:effectExtent l="12700" t="12700" r="24765" b="273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055" cy="2748915"/>
                    </a:xfrm>
                    <a:prstGeom prst="rect">
                      <a:avLst/>
                    </a:prstGeom>
                    <a:noFill/>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val="0"/>
          <w:bCs w:val="0"/>
          <w:i w:val="0"/>
          <w:iCs w:val="0"/>
          <w:sz w:val="24"/>
          <w:szCs w:val="24"/>
          <w:lang w:val="en-US" w:eastAsia="zh-CN"/>
        </w:rPr>
      </w:pPr>
      <w:r>
        <w:rPr>
          <w:rFonts w:hint="eastAsia"/>
          <w:i/>
          <w:iCs/>
          <w:sz w:val="20"/>
          <w:szCs w:val="22"/>
          <w:lang w:val="en-US" w:eastAsia="zh-CN"/>
        </w:rPr>
        <w:t>Figure 5 basket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ZkNzQ4ZWFiZmQ4NTRhOWRkZTk3YTMwMjlmMmZhYmUifQ=="/>
  </w:docVars>
  <w:rsids>
    <w:rsidRoot w:val="00000000"/>
    <w:rsid w:val="137F4113"/>
    <w:rsid w:val="3AB24E7C"/>
    <w:rsid w:val="3C10525B"/>
    <w:rsid w:val="6F7E1A3C"/>
    <w:rsid w:val="7E15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2023-05-24T03:10:00Z</dcterms:created>
  <dc:creator>zry1010</dc:creator>
  <cp:lastModifiedBy>伽言</cp:lastModifiedBy>
  <dcterms:modified xsi:type="dcterms:W3CDTF">2023-05-24T08:30:21Z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4A63E371AA55400B85844BB9C1244D04_12</vt:lpwstr>
  </property>
</Properties>
</file>