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118FCC" w14:textId="048CC4E6" w:rsidR="00172E38" w:rsidRPr="00172E38" w:rsidRDefault="00172E38">
      <w:pPr>
        <w:rPr>
          <w:rFonts w:ascii="Times New Roman" w:hAnsi="Times New Roman" w:cs="Times New Roman"/>
        </w:rPr>
      </w:pPr>
      <w:r w:rsidRPr="00172E38">
        <w:rPr>
          <w:rFonts w:ascii="Times New Roman" w:hAnsi="Times New Roman" w:cs="Times New Roman"/>
        </w:rPr>
        <w:t>Alexander Baldree</w:t>
      </w:r>
    </w:p>
    <w:p w14:paraId="34908151" w14:textId="58F788F9" w:rsidR="00172E38" w:rsidRPr="00172E38" w:rsidRDefault="00172E38">
      <w:pPr>
        <w:rPr>
          <w:rFonts w:ascii="Times New Roman" w:hAnsi="Times New Roman" w:cs="Times New Roman"/>
        </w:rPr>
      </w:pPr>
      <w:r w:rsidRPr="00172E38">
        <w:rPr>
          <w:rFonts w:ascii="Times New Roman" w:hAnsi="Times New Roman" w:cs="Times New Roman"/>
        </w:rPr>
        <w:t>07/28/26</w:t>
      </w:r>
    </w:p>
    <w:p w14:paraId="044BB160" w14:textId="7342B7A1" w:rsidR="00172E38" w:rsidRPr="00172E38" w:rsidRDefault="00172E38">
      <w:pPr>
        <w:rPr>
          <w:rFonts w:ascii="Times New Roman" w:hAnsi="Times New Roman" w:cs="Times New Roman"/>
        </w:rPr>
      </w:pPr>
      <w:r w:rsidRPr="00172E38">
        <w:rPr>
          <w:rFonts w:ascii="Times New Roman" w:hAnsi="Times New Roman" w:cs="Times New Roman"/>
        </w:rPr>
        <w:t>Module 11.2 Assignment</w:t>
      </w:r>
    </w:p>
    <w:p w14:paraId="45143923" w14:textId="007CD8B4" w:rsidR="00172E38" w:rsidRPr="00172E38" w:rsidRDefault="00172E38">
      <w:pPr>
        <w:rPr>
          <w:rFonts w:ascii="Times New Roman" w:hAnsi="Times New Roman" w:cs="Times New Roman"/>
        </w:rPr>
      </w:pPr>
      <w:r w:rsidRPr="00172E38">
        <w:rPr>
          <w:rFonts w:ascii="Times New Roman" w:hAnsi="Times New Roman" w:cs="Times New Roman"/>
        </w:rPr>
        <w:t>CSD380</w:t>
      </w:r>
    </w:p>
    <w:p w14:paraId="0EF3F479" w14:textId="77777777" w:rsidR="00172E38" w:rsidRPr="00172E38" w:rsidRDefault="00172E38">
      <w:pPr>
        <w:rPr>
          <w:rFonts w:ascii="Times New Roman" w:hAnsi="Times New Roman" w:cs="Times New Roman"/>
        </w:rPr>
      </w:pPr>
    </w:p>
    <w:p w14:paraId="149C0C56"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 xml:space="preserve">As I continued reading through </w:t>
      </w:r>
      <w:r w:rsidRPr="00CB751A">
        <w:rPr>
          <w:rFonts w:ascii="Times New Roman" w:eastAsia="Times New Roman" w:hAnsi="Times New Roman" w:cs="Times New Roman"/>
          <w:b/>
          <w:bCs/>
          <w:kern w:val="0"/>
          <w:u w:val="single"/>
          <w14:ligatures w14:val="none"/>
        </w:rPr>
        <w:t xml:space="preserve">Chapter 23 of </w:t>
      </w:r>
      <w:r w:rsidRPr="00CB751A">
        <w:rPr>
          <w:rFonts w:ascii="Times New Roman" w:eastAsia="Times New Roman" w:hAnsi="Times New Roman" w:cs="Times New Roman"/>
          <w:b/>
          <w:bCs/>
          <w:i/>
          <w:iCs/>
          <w:kern w:val="0"/>
          <w:u w:val="single"/>
          <w14:ligatures w14:val="none"/>
        </w:rPr>
        <w:t>The DevOps Handbook</w:t>
      </w:r>
      <w:r w:rsidRPr="00172E38">
        <w:rPr>
          <w:rFonts w:ascii="Times New Roman" w:eastAsia="Times New Roman" w:hAnsi="Times New Roman" w:cs="Times New Roman"/>
          <w:kern w:val="0"/>
          <w14:ligatures w14:val="none"/>
        </w:rPr>
        <w:t>, I started to notice that compliance does not have to slow a DevOps team down as much as people might expect. When I normally think about compliance, I picture auditors asking for screenshots, employees filling out reports, and developers waiting for someone else to approve their work. Both case studies showed me that many of those older methods were designed for a time when servers, applications, and development environments did not change nearly as quickly as they do today. The main point I took from the chapter was that organizations still need strong controls, but those controls should be built into the daily development process instead of being added at the end.</w:t>
      </w:r>
    </w:p>
    <w:p w14:paraId="41920959"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The first case study, “</w:t>
      </w:r>
      <w:r w:rsidRPr="00172E38">
        <w:rPr>
          <w:rFonts w:ascii="Times New Roman" w:eastAsia="Times New Roman" w:hAnsi="Times New Roman" w:cs="Times New Roman"/>
          <w:b/>
          <w:bCs/>
          <w:kern w:val="0"/>
          <w:u w:val="single"/>
          <w14:ligatures w14:val="none"/>
        </w:rPr>
        <w:t>Providing Compliance in Regulated Environments</w:t>
      </w:r>
      <w:r w:rsidRPr="00172E38">
        <w:rPr>
          <w:rFonts w:ascii="Times New Roman" w:eastAsia="Times New Roman" w:hAnsi="Times New Roman" w:cs="Times New Roman"/>
          <w:kern w:val="0"/>
          <w14:ligatures w14:val="none"/>
        </w:rPr>
        <w:t xml:space="preserve">,” follows Bill Shinn, a security solutions architect at Amazon Web Services. He worked with large organizations that needed to operate in highly regulated industries while still using cloud services and DevOps practices. One of the problems he noticed was that traditional auditing methods did not always fit a modern cloud environment. In the past, an auditor might select a group of physical servers and request screenshots showing their configurations, access controls, installed agents, and logs. That process may have worked when servers remained in one place for years, but it becomes much more difficult when infrastructure is written as code and servers can automatically appear or disappear based on demand. </w:t>
      </w:r>
    </w:p>
    <w:p w14:paraId="1A7D6776"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As I read through this part, I could understand why the old process would become a problem. An auditor cannot easily request a screenshot of a server that only existed for a few hours and was automatically replaced. Even if the organization collected the information manually, employees could spend a large amount of time searching for evidence instead of working on the system. The case study explains that the better solution is not to remove auditing requirements. Instead, the organization should change the way the evidence is gathered and presented.</w:t>
      </w:r>
    </w:p>
    <w:p w14:paraId="57F6E252"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 xml:space="preserve">Shinn’s teams worked directly with auditors while designing their controls. During each sprint, they would focus on a control and determine what evidence an auditor would need to prove that the control was operating correctly. The organization could then send its logs, configuration information, deployment activity, and other data into telemetry systems such as Splunk or Kibana. Rather than waiting for an employee to collect screenshots or create a spreadsheet, an auditor could search the telemetry system for the correct dates and find the evidence independently. </w:t>
      </w:r>
    </w:p>
    <w:p w14:paraId="3555566E"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 xml:space="preserve">The lesson I learned from this case study is that compliance should be treated as part of the system instead of a separate event that happens when an audit begins. When the correct </w:t>
      </w:r>
      <w:r w:rsidRPr="00172E38">
        <w:rPr>
          <w:rFonts w:ascii="Times New Roman" w:eastAsia="Times New Roman" w:hAnsi="Times New Roman" w:cs="Times New Roman"/>
          <w:kern w:val="0"/>
          <w14:ligatures w14:val="none"/>
        </w:rPr>
        <w:lastRenderedPageBreak/>
        <w:t>information is automatically collected as work is completed, the organization is continuously creating evidence. This makes the audit process easier, but it also gives the organization better visibility into its own environment. It becomes easier to see who made a change, when the change happened, what control was involved, and whether that control worked.</w:t>
      </w:r>
    </w:p>
    <w:p w14:paraId="25E1905B"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 xml:space="preserve">Another point that stood out to me was the need for developers, security teams, compliance officers, and auditors to communicate with each other. A regulation may describe what information must be protected or what activities must be recorded, but it does not always explain exactly which tool or technical method should be used. The teams must take the written requirement and translate it into something that can be placed in version control, tested through a deployment pipeline, or monitored in production. The case study gives AWS CloudWatch as an example of a tool that could test a control and send the results into a logging system where the evidence could be connected to the original requirement. </w:t>
      </w:r>
    </w:p>
    <w:p w14:paraId="596BB718"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 xml:space="preserve">The second case study, “Relying on Production Telemetry for ATM Systems,” shows why organizations cannot depend only on preventive controls. The case involves a developer who created a hidden backdoor in the code used by ATM machines. The backdoor allowed certain machines to enter maintenance mode at unauthorized times, which gave the person an opportunity to remove money. The organization already had separation of duties between Development and Operations, code reviews, and a change approval process, but those controls did not stop the malicious code from reaching production. </w:t>
      </w:r>
    </w:p>
    <w:p w14:paraId="145BEADD"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 xml:space="preserve">What caught my attention was how the organization discovered the fraud. It was not found during a code review. During a regular operations meeting, someone noticed that multiple ATMs in one city were entering maintenance mode at times when no maintenance had been scheduled. That unusual activity caused the team to investigate. The telemetry exposed the fraud before the scheduled cash audit compared the money inside the machines with the approved transactions. </w:t>
      </w:r>
    </w:p>
    <w:p w14:paraId="254DDD47" w14:textId="18785B92"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 xml:space="preserve">This case taught me that no single security control will catch every problem. Code reviews, automated tests, approvals, and separation of duties are still necessary, but a determined person may find a way around them. Production telemetry gives the organization another layer of protection because it shows what the system is </w:t>
      </w:r>
      <w:r w:rsidRPr="00172E38">
        <w:rPr>
          <w:rFonts w:ascii="Times New Roman" w:eastAsia="Times New Roman" w:hAnsi="Times New Roman" w:cs="Times New Roman"/>
          <w:kern w:val="0"/>
          <w14:ligatures w14:val="none"/>
        </w:rPr>
        <w:t>doing</w:t>
      </w:r>
      <w:r w:rsidRPr="00172E38">
        <w:rPr>
          <w:rFonts w:ascii="Times New Roman" w:eastAsia="Times New Roman" w:hAnsi="Times New Roman" w:cs="Times New Roman"/>
          <w:kern w:val="0"/>
          <w14:ligatures w14:val="none"/>
        </w:rPr>
        <w:t xml:space="preserve"> after the code has been released. A change may look normal during a review, but its behavior in production may tell a completely different story.</w:t>
      </w:r>
    </w:p>
    <w:p w14:paraId="372EC117"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The lesson I took from both case studies is that compliance and security depend on visibility. The first case used telemetry to provide evidence that controls were operating, while the second case used telemetry to identify behavior that should not have been happening. In both situations, automatically collecting and reviewing production information was more useful than depending entirely on screenshots, manual reports, or occasional reviews.</w:t>
      </w:r>
    </w:p>
    <w:p w14:paraId="17B25019"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 xml:space="preserve">By the time I finished both cases, I understood compliance as more than passing an audit or proving that a checklist was completed. A strong compliance process should help prevent problems, detect unusual activity, and give the organization enough information to correct an issue quickly. When security and compliance controls are connected to version control, deployment pipelines, automated testing, logging, and production monitoring, they become part </w:t>
      </w:r>
      <w:r w:rsidRPr="00172E38">
        <w:rPr>
          <w:rFonts w:ascii="Times New Roman" w:eastAsia="Times New Roman" w:hAnsi="Times New Roman" w:cs="Times New Roman"/>
          <w:kern w:val="0"/>
          <w14:ligatures w14:val="none"/>
        </w:rPr>
        <w:lastRenderedPageBreak/>
        <w:t xml:space="preserve">of everyone’s daily work. This can reduce the effort required to prepare for an audit while also helping the organization respond to security problems before they grow into something much worse. </w:t>
      </w:r>
    </w:p>
    <w:p w14:paraId="6F689208" w14:textId="77777777" w:rsidR="00172E38" w:rsidRPr="00172E38" w:rsidRDefault="00172E38" w:rsidP="00172E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EB78029" w14:textId="0B0F9234" w:rsidR="00172E38" w:rsidRPr="00172E38" w:rsidRDefault="00172E38" w:rsidP="00172E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2E38">
        <w:rPr>
          <w:rFonts w:ascii="Times New Roman" w:eastAsia="Times New Roman" w:hAnsi="Times New Roman" w:cs="Times New Roman"/>
          <w:b/>
          <w:bCs/>
          <w:kern w:val="0"/>
          <w:sz w:val="36"/>
          <w:szCs w:val="36"/>
          <w14:ligatures w14:val="none"/>
        </w:rPr>
        <w:t>Reference</w:t>
      </w:r>
    </w:p>
    <w:p w14:paraId="50BC7DC2" w14:textId="77777777" w:rsidR="00172E38" w:rsidRPr="00172E38" w:rsidRDefault="00172E38" w:rsidP="00172E38">
      <w:pPr>
        <w:spacing w:before="100" w:beforeAutospacing="1" w:after="100" w:afterAutospacing="1" w:line="240" w:lineRule="auto"/>
        <w:rPr>
          <w:rFonts w:ascii="Times New Roman" w:eastAsia="Times New Roman" w:hAnsi="Times New Roman" w:cs="Times New Roman"/>
          <w:kern w:val="0"/>
          <w14:ligatures w14:val="none"/>
        </w:rPr>
      </w:pPr>
      <w:r w:rsidRPr="00172E38">
        <w:rPr>
          <w:rFonts w:ascii="Times New Roman" w:eastAsia="Times New Roman" w:hAnsi="Times New Roman" w:cs="Times New Roman"/>
          <w:kern w:val="0"/>
          <w14:ligatures w14:val="none"/>
        </w:rPr>
        <w:t xml:space="preserve">Kim, G., Humble, J., Debois, P., Willis, J., and Forsgren, N. </w:t>
      </w:r>
      <w:r w:rsidRPr="00172E38">
        <w:rPr>
          <w:rFonts w:ascii="Times New Roman" w:eastAsia="Times New Roman" w:hAnsi="Times New Roman" w:cs="Times New Roman"/>
          <w:i/>
          <w:iCs/>
          <w:kern w:val="0"/>
          <w14:ligatures w14:val="none"/>
        </w:rPr>
        <w:t>The DevOps Handbook: How to Create World-Class Agility, Reliability, and Security in Technology Organizations</w:t>
      </w:r>
      <w:r w:rsidRPr="00172E38">
        <w:rPr>
          <w:rFonts w:ascii="Times New Roman" w:eastAsia="Times New Roman" w:hAnsi="Times New Roman" w:cs="Times New Roman"/>
          <w:kern w:val="0"/>
          <w14:ligatures w14:val="none"/>
        </w:rPr>
        <w:t>. IT Revolution.</w:t>
      </w:r>
    </w:p>
    <w:p w14:paraId="6EF099BC" w14:textId="77777777" w:rsidR="00172E38" w:rsidRDefault="00172E38"/>
    <w:sectPr w:rsidR="00172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38"/>
    <w:rsid w:val="00172E38"/>
    <w:rsid w:val="00BD4A74"/>
    <w:rsid w:val="00CB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368B8C"/>
  <w15:chartTrackingRefBased/>
  <w15:docId w15:val="{0163DE6F-160C-AF49-99DF-B9D99C415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2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E38"/>
    <w:rPr>
      <w:rFonts w:eastAsiaTheme="majorEastAsia" w:cstheme="majorBidi"/>
      <w:color w:val="272727" w:themeColor="text1" w:themeTint="D8"/>
    </w:rPr>
  </w:style>
  <w:style w:type="paragraph" w:styleId="Title">
    <w:name w:val="Title"/>
    <w:basedOn w:val="Normal"/>
    <w:next w:val="Normal"/>
    <w:link w:val="TitleChar"/>
    <w:uiPriority w:val="10"/>
    <w:qFormat/>
    <w:rsid w:val="00172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E38"/>
    <w:pPr>
      <w:spacing w:before="160"/>
      <w:jc w:val="center"/>
    </w:pPr>
    <w:rPr>
      <w:i/>
      <w:iCs/>
      <w:color w:val="404040" w:themeColor="text1" w:themeTint="BF"/>
    </w:rPr>
  </w:style>
  <w:style w:type="character" w:customStyle="1" w:styleId="QuoteChar">
    <w:name w:val="Quote Char"/>
    <w:basedOn w:val="DefaultParagraphFont"/>
    <w:link w:val="Quote"/>
    <w:uiPriority w:val="29"/>
    <w:rsid w:val="00172E38"/>
    <w:rPr>
      <w:i/>
      <w:iCs/>
      <w:color w:val="404040" w:themeColor="text1" w:themeTint="BF"/>
    </w:rPr>
  </w:style>
  <w:style w:type="paragraph" w:styleId="ListParagraph">
    <w:name w:val="List Paragraph"/>
    <w:basedOn w:val="Normal"/>
    <w:uiPriority w:val="34"/>
    <w:qFormat/>
    <w:rsid w:val="00172E38"/>
    <w:pPr>
      <w:ind w:left="720"/>
      <w:contextualSpacing/>
    </w:pPr>
  </w:style>
  <w:style w:type="character" w:styleId="IntenseEmphasis">
    <w:name w:val="Intense Emphasis"/>
    <w:basedOn w:val="DefaultParagraphFont"/>
    <w:uiPriority w:val="21"/>
    <w:qFormat/>
    <w:rsid w:val="00172E38"/>
    <w:rPr>
      <w:i/>
      <w:iCs/>
      <w:color w:val="0F4761" w:themeColor="accent1" w:themeShade="BF"/>
    </w:rPr>
  </w:style>
  <w:style w:type="paragraph" w:styleId="IntenseQuote">
    <w:name w:val="Intense Quote"/>
    <w:basedOn w:val="Normal"/>
    <w:next w:val="Normal"/>
    <w:link w:val="IntenseQuoteChar"/>
    <w:uiPriority w:val="30"/>
    <w:qFormat/>
    <w:rsid w:val="00172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E38"/>
    <w:rPr>
      <w:i/>
      <w:iCs/>
      <w:color w:val="0F4761" w:themeColor="accent1" w:themeShade="BF"/>
    </w:rPr>
  </w:style>
  <w:style w:type="character" w:styleId="IntenseReference">
    <w:name w:val="Intense Reference"/>
    <w:basedOn w:val="DefaultParagraphFont"/>
    <w:uiPriority w:val="32"/>
    <w:qFormat/>
    <w:rsid w:val="00172E38"/>
    <w:rPr>
      <w:b/>
      <w:bCs/>
      <w:smallCaps/>
      <w:color w:val="0F4761" w:themeColor="accent1" w:themeShade="BF"/>
      <w:spacing w:val="5"/>
    </w:rPr>
  </w:style>
  <w:style w:type="paragraph" w:styleId="NormalWeb">
    <w:name w:val="Normal (Web)"/>
    <w:basedOn w:val="Normal"/>
    <w:uiPriority w:val="99"/>
    <w:semiHidden/>
    <w:unhideWhenUsed/>
    <w:rsid w:val="00172E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72E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1013</Words>
  <Characters>5775</Characters>
  <Application>Microsoft Office Word</Application>
  <DocSecurity>0</DocSecurity>
  <Lines>48</Lines>
  <Paragraphs>13</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2026-07-28T20:08:00Z</dcterms:created>
  <dcterms:modified xsi:type="dcterms:W3CDTF">2026-07-28T20:14:00Z</dcterms:modified>
</cp:coreProperties>
</file>