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0FC" w:rsidRDefault="00840049">
      <w:r>
        <w:t xml:space="preserve">In exercise of the powers conferred by sub-section (1) of section 18 of the Coal Mines (Special Provisions) Act, 2015 (11 of 2015) as amended by the Mineral Laws (Amendment) Ordinance, 2020 (1 of 2020), the Central Government hereby appoints Chairman, Coal India Ltd. as a designated custodian to manage and operate </w:t>
      </w:r>
      <w:proofErr w:type="spellStart"/>
      <w:r>
        <w:t>Parbatpur</w:t>
      </w:r>
      <w:proofErr w:type="spellEnd"/>
      <w:r>
        <w:t>-Central coal mine located in the State of Jharkhand</w:t>
      </w:r>
      <w:bookmarkStart w:id="0" w:name="_GoBack"/>
      <w:bookmarkEnd w:id="0"/>
    </w:p>
    <w:sectPr w:rsidR="00073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49"/>
    <w:rsid w:val="000730FC"/>
    <w:rsid w:val="00840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7FB40-A13E-412A-9B30-1CFBBEB2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2023-09-24T15:57:00Z</dcterms:created>
  <dcterms:modified xsi:type="dcterms:W3CDTF">2023-09-24T15:57:00Z</dcterms:modified>
</cp:coreProperties>
</file>