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65F" w:rsidRDefault="00F01DA0">
      <w:bookmarkStart w:id="0" w:name="_GoBack"/>
      <w:bookmarkEnd w:id="0"/>
      <w:r>
        <w:t>In exercise of the powers conferred by sub-clause (v) of clause (v) of sub-section (1) of section 3 of the Coal Mines (Special Provisions) Act, 2015 (11 of 2015), the Central Government hereby specifies “production of fertilizer” to be specified end-use for the purpose of the said Act.</w:t>
      </w:r>
    </w:p>
    <w:sectPr w:rsidR="00AD5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A0"/>
    <w:rsid w:val="007605E3"/>
    <w:rsid w:val="00AD565F"/>
    <w:rsid w:val="00F0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BA028-35D4-4DE6-8FF2-3C0FF5D9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2023-09-25T16:20:00Z</dcterms:created>
  <dcterms:modified xsi:type="dcterms:W3CDTF">2023-09-25T16:20:00Z</dcterms:modified>
</cp:coreProperties>
</file>