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6D7" w:rsidRDefault="00B616D7">
      <w:pPr>
        <w:jc w:val="both"/>
      </w:pPr>
    </w:p>
    <w:p w:rsidR="00FA4379" w:rsidRDefault="00FA4379" w:rsidP="00FA4379">
      <w:pPr>
        <w:jc w:val="both"/>
        <w:rPr>
          <w:rFonts w:ascii="Times New Roman" w:eastAsia="Times New Roman" w:hAnsi="Times New Roman" w:cs="Times New Roman"/>
        </w:rPr>
      </w:pPr>
    </w:p>
    <w:p w:rsidR="00B616D7" w:rsidRDefault="00FA4379">
      <w:pPr>
        <w:spacing w:after="142" w:line="236" w:lineRule="auto"/>
        <w:ind w:left="121" w:right="153" w:firstLine="710"/>
      </w:pPr>
      <w:r>
        <w:rPr>
          <w:rFonts w:ascii="Times New Roman" w:eastAsia="Times New Roman" w:hAnsi="Times New Roman" w:cs="Times New Roman"/>
        </w:rPr>
        <w:t>W</w:t>
      </w:r>
      <w:r>
        <w:rPr>
          <w:rFonts w:ascii="Times New Roman" w:eastAsia="Times New Roman" w:hAnsi="Times New Roman" w:cs="Times New Roman"/>
        </w:rPr>
        <w:t>hereas the Central Government, vide Section 8, sub-section (5) of the Mines and Minerals (Development and Reg</w:t>
      </w:r>
      <w:r>
        <w:rPr>
          <w:rFonts w:ascii="Times New Roman" w:eastAsia="Times New Roman" w:hAnsi="Times New Roman" w:cs="Times New Roman"/>
        </w:rPr>
        <w:t>ulation) Act, 1957 (67 of 1957) allows any lessee, where coal or lignite is used for captive purpose, to sell such coal or lignite up to fifty per cent. of the total coal or lignite produced in a year, on payment of an additional amount and after meeting t</w:t>
      </w:r>
      <w:r>
        <w:rPr>
          <w:rFonts w:ascii="Times New Roman" w:eastAsia="Times New Roman" w:hAnsi="Times New Roman" w:cs="Times New Roman"/>
        </w:rPr>
        <w:t xml:space="preserve">he requirement of the end use plant linked with the mine in such manner as may be prescribed by the Central Government; </w:t>
      </w:r>
    </w:p>
    <w:p w:rsidR="00B616D7" w:rsidRDefault="00FA4379">
      <w:pPr>
        <w:spacing w:after="142" w:line="236" w:lineRule="auto"/>
        <w:ind w:left="121" w:right="-15" w:firstLine="710"/>
      </w:pPr>
      <w:r>
        <w:rPr>
          <w:rFonts w:ascii="Times New Roman" w:eastAsia="Times New Roman" w:hAnsi="Times New Roman" w:cs="Times New Roman"/>
        </w:rPr>
        <w:t>Whereas in exercise of powers conferred by Section 13, the Government has prescribed the manner for this purpose in rule 27A of Mineral</w:t>
      </w:r>
      <w:r>
        <w:rPr>
          <w:rFonts w:ascii="Times New Roman" w:eastAsia="Times New Roman" w:hAnsi="Times New Roman" w:cs="Times New Roman"/>
        </w:rPr>
        <w:t xml:space="preserve"> Concession Rules, 1960; </w:t>
      </w:r>
    </w:p>
    <w:p w:rsidR="00B616D7" w:rsidRDefault="00FA4379">
      <w:pPr>
        <w:spacing w:after="42" w:line="236" w:lineRule="auto"/>
        <w:ind w:left="121" w:right="-15"/>
      </w:pPr>
      <w:r>
        <w:rPr>
          <w:rFonts w:ascii="Times New Roman" w:eastAsia="Times New Roman" w:hAnsi="Times New Roman" w:cs="Times New Roman"/>
        </w:rPr>
        <w:t xml:space="preserve"> </w:t>
      </w:r>
      <w:r>
        <w:rPr>
          <w:rFonts w:ascii="Times New Roman" w:eastAsia="Times New Roman" w:hAnsi="Times New Roman" w:cs="Times New Roman"/>
        </w:rPr>
        <w:tab/>
        <w:t xml:space="preserve">Now, in exercise of powers conferred by proviso to sub-section (5) of Section 8 of the Act, the </w:t>
      </w:r>
    </w:p>
    <w:p w:rsidR="00B616D7" w:rsidRDefault="00FA4379">
      <w:pPr>
        <w:spacing w:after="118"/>
        <w:ind w:left="136" w:right="315"/>
        <w:jc w:val="both"/>
      </w:pPr>
      <w:r>
        <w:rPr>
          <w:rFonts w:ascii="Times New Roman" w:eastAsia="Times New Roman" w:hAnsi="Times New Roman" w:cs="Times New Roman"/>
        </w:rPr>
        <w:t>Central Government hereby increases the percentage of coal, as tabulated below, that may be sold by NLC India Limited, up to 75 per</w:t>
      </w:r>
      <w:r>
        <w:rPr>
          <w:rFonts w:ascii="Times New Roman" w:eastAsia="Times New Roman" w:hAnsi="Times New Roman" w:cs="Times New Roman"/>
        </w:rPr>
        <w:t xml:space="preserve">cent of coal produced from </w:t>
      </w:r>
      <w:proofErr w:type="spellStart"/>
      <w:r>
        <w:rPr>
          <w:rFonts w:ascii="Times New Roman" w:eastAsia="Times New Roman" w:hAnsi="Times New Roman" w:cs="Times New Roman"/>
        </w:rPr>
        <w:t>Talabira</w:t>
      </w:r>
      <w:proofErr w:type="spellEnd"/>
      <w:r>
        <w:rPr>
          <w:rFonts w:ascii="Times New Roman" w:eastAsia="Times New Roman" w:hAnsi="Times New Roman" w:cs="Times New Roman"/>
        </w:rPr>
        <w:t xml:space="preserve"> II and III OCP up to 31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March, 2026, after meeting the requirement of their end use plants linked with these mines, in the manner prescribed and in observance of conditions indicated in rule 27A of Mineral Concession R</w:t>
      </w:r>
      <w:r>
        <w:rPr>
          <w:rFonts w:ascii="Times New Roman" w:eastAsia="Times New Roman" w:hAnsi="Times New Roman" w:cs="Times New Roman"/>
        </w:rPr>
        <w:t xml:space="preserve">ules, 1960. </w:t>
      </w:r>
    </w:p>
    <w:tbl>
      <w:tblPr>
        <w:tblStyle w:val="TableGrid"/>
        <w:tblW w:w="9540" w:type="dxa"/>
        <w:tblInd w:w="122" w:type="dxa"/>
        <w:tblCellMar>
          <w:top w:w="97" w:type="dxa"/>
          <w:left w:w="39" w:type="dxa"/>
          <w:bottom w:w="0" w:type="dxa"/>
          <w:right w:w="115" w:type="dxa"/>
        </w:tblCellMar>
        <w:tblLook w:val="04A0" w:firstRow="1" w:lastRow="0" w:firstColumn="1" w:lastColumn="0" w:noHBand="0" w:noVBand="1"/>
      </w:tblPr>
      <w:tblGrid>
        <w:gridCol w:w="2382"/>
        <w:gridCol w:w="2386"/>
        <w:gridCol w:w="2386"/>
        <w:gridCol w:w="2386"/>
      </w:tblGrid>
      <w:tr w:rsidR="00B616D7">
        <w:trPr>
          <w:trHeight w:val="612"/>
        </w:trPr>
        <w:tc>
          <w:tcPr>
            <w:tcW w:w="2381" w:type="dxa"/>
            <w:tcBorders>
              <w:top w:val="single" w:sz="6" w:space="0" w:color="000000"/>
              <w:left w:val="single" w:sz="6" w:space="0" w:color="000000"/>
              <w:bottom w:val="single" w:sz="6" w:space="0" w:color="000000"/>
              <w:right w:val="single" w:sz="6" w:space="0" w:color="000000"/>
            </w:tcBorders>
            <w:vAlign w:val="center"/>
          </w:tcPr>
          <w:p w:rsidR="00B616D7" w:rsidRDefault="00FA4379">
            <w:pPr>
              <w:jc w:val="center"/>
            </w:pPr>
            <w:r>
              <w:rPr>
                <w:rFonts w:ascii="Times New Roman" w:eastAsia="Times New Roman" w:hAnsi="Times New Roman" w:cs="Times New Roman"/>
              </w:rPr>
              <w:t xml:space="preserve">Year </w:t>
            </w:r>
          </w:p>
        </w:tc>
        <w:tc>
          <w:tcPr>
            <w:tcW w:w="2386" w:type="dxa"/>
            <w:tcBorders>
              <w:top w:val="single" w:sz="6" w:space="0" w:color="000000"/>
              <w:left w:val="single" w:sz="6" w:space="0" w:color="000000"/>
              <w:bottom w:val="single" w:sz="6" w:space="0" w:color="000000"/>
              <w:right w:val="single" w:sz="6" w:space="0" w:color="000000"/>
            </w:tcBorders>
            <w:vAlign w:val="center"/>
          </w:tcPr>
          <w:p w:rsidR="00B616D7" w:rsidRDefault="00FA4379">
            <w:pPr>
              <w:jc w:val="both"/>
            </w:pPr>
            <w:r>
              <w:rPr>
                <w:rFonts w:ascii="Times New Roman" w:eastAsia="Times New Roman" w:hAnsi="Times New Roman" w:cs="Times New Roman"/>
              </w:rPr>
              <w:t xml:space="preserve">Estimated coal production </w:t>
            </w:r>
          </w:p>
        </w:tc>
        <w:tc>
          <w:tcPr>
            <w:tcW w:w="2386" w:type="dxa"/>
            <w:tcBorders>
              <w:top w:val="single" w:sz="6" w:space="0" w:color="000000"/>
              <w:left w:val="single" w:sz="6" w:space="0" w:color="000000"/>
              <w:bottom w:val="single" w:sz="6" w:space="0" w:color="000000"/>
              <w:right w:val="single" w:sz="6" w:space="0" w:color="000000"/>
            </w:tcBorders>
            <w:vAlign w:val="center"/>
          </w:tcPr>
          <w:p w:rsidR="00B616D7" w:rsidRDefault="00FA4379">
            <w:pPr>
              <w:jc w:val="center"/>
            </w:pPr>
            <w:r>
              <w:rPr>
                <w:rFonts w:ascii="Times New Roman" w:eastAsia="Times New Roman" w:hAnsi="Times New Roman" w:cs="Times New Roman"/>
              </w:rPr>
              <w:t xml:space="preserve">EUP requirement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Balance quantity of coal approved for sale </w:t>
            </w:r>
          </w:p>
        </w:tc>
      </w:tr>
      <w:tr w:rsidR="00B616D7">
        <w:trPr>
          <w:trHeight w:val="358"/>
        </w:trPr>
        <w:tc>
          <w:tcPr>
            <w:tcW w:w="2381"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2021-22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10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2.5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7.5 (75%) </w:t>
            </w:r>
          </w:p>
        </w:tc>
      </w:tr>
      <w:tr w:rsidR="00B616D7">
        <w:trPr>
          <w:trHeight w:val="358"/>
        </w:trPr>
        <w:tc>
          <w:tcPr>
            <w:tcW w:w="2381"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2022-23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20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5.0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15 </w:t>
            </w:r>
            <w:proofErr w:type="gramStart"/>
            <w:r>
              <w:rPr>
                <w:rFonts w:ascii="Times New Roman" w:eastAsia="Times New Roman" w:hAnsi="Times New Roman" w:cs="Times New Roman"/>
              </w:rPr>
              <w:t>( 75</w:t>
            </w:r>
            <w:proofErr w:type="gramEnd"/>
            <w:r>
              <w:rPr>
                <w:rFonts w:ascii="Times New Roman" w:eastAsia="Times New Roman" w:hAnsi="Times New Roman" w:cs="Times New Roman"/>
              </w:rPr>
              <w:t xml:space="preserve">%) </w:t>
            </w:r>
          </w:p>
        </w:tc>
      </w:tr>
      <w:tr w:rsidR="00B616D7">
        <w:trPr>
          <w:trHeight w:val="358"/>
        </w:trPr>
        <w:tc>
          <w:tcPr>
            <w:tcW w:w="2381"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2023-24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20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5.0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15 </w:t>
            </w:r>
            <w:proofErr w:type="gramStart"/>
            <w:r>
              <w:rPr>
                <w:rFonts w:ascii="Times New Roman" w:eastAsia="Times New Roman" w:hAnsi="Times New Roman" w:cs="Times New Roman"/>
              </w:rPr>
              <w:t>( 75</w:t>
            </w:r>
            <w:proofErr w:type="gramEnd"/>
            <w:r>
              <w:rPr>
                <w:rFonts w:ascii="Times New Roman" w:eastAsia="Times New Roman" w:hAnsi="Times New Roman" w:cs="Times New Roman"/>
              </w:rPr>
              <w:t xml:space="preserve">%) </w:t>
            </w:r>
          </w:p>
        </w:tc>
      </w:tr>
      <w:tr w:rsidR="00B616D7">
        <w:trPr>
          <w:trHeight w:val="358"/>
        </w:trPr>
        <w:tc>
          <w:tcPr>
            <w:tcW w:w="2381"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2024-25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20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5.0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15 </w:t>
            </w:r>
            <w:proofErr w:type="gramStart"/>
            <w:r>
              <w:rPr>
                <w:rFonts w:ascii="Times New Roman" w:eastAsia="Times New Roman" w:hAnsi="Times New Roman" w:cs="Times New Roman"/>
              </w:rPr>
              <w:t>( 75</w:t>
            </w:r>
            <w:proofErr w:type="gramEnd"/>
            <w:r>
              <w:rPr>
                <w:rFonts w:ascii="Times New Roman" w:eastAsia="Times New Roman" w:hAnsi="Times New Roman" w:cs="Times New Roman"/>
              </w:rPr>
              <w:t xml:space="preserve">%) </w:t>
            </w:r>
          </w:p>
        </w:tc>
      </w:tr>
      <w:tr w:rsidR="00B616D7">
        <w:trPr>
          <w:trHeight w:val="360"/>
        </w:trPr>
        <w:tc>
          <w:tcPr>
            <w:tcW w:w="2381"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2025-26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20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5.0 </w:t>
            </w:r>
          </w:p>
        </w:tc>
        <w:tc>
          <w:tcPr>
            <w:tcW w:w="2386" w:type="dxa"/>
            <w:tcBorders>
              <w:top w:val="single" w:sz="6" w:space="0" w:color="000000"/>
              <w:left w:val="single" w:sz="6" w:space="0" w:color="000000"/>
              <w:bottom w:val="single" w:sz="6" w:space="0" w:color="000000"/>
              <w:right w:val="single" w:sz="6" w:space="0" w:color="000000"/>
            </w:tcBorders>
          </w:tcPr>
          <w:p w:rsidR="00B616D7" w:rsidRDefault="00FA4379">
            <w:pPr>
              <w:jc w:val="center"/>
            </w:pPr>
            <w:r>
              <w:rPr>
                <w:rFonts w:ascii="Times New Roman" w:eastAsia="Times New Roman" w:hAnsi="Times New Roman" w:cs="Times New Roman"/>
              </w:rPr>
              <w:t xml:space="preserve">15 </w:t>
            </w:r>
            <w:proofErr w:type="gramStart"/>
            <w:r>
              <w:rPr>
                <w:rFonts w:ascii="Times New Roman" w:eastAsia="Times New Roman" w:hAnsi="Times New Roman" w:cs="Times New Roman"/>
              </w:rPr>
              <w:t>( 75</w:t>
            </w:r>
            <w:proofErr w:type="gramEnd"/>
            <w:r>
              <w:rPr>
                <w:rFonts w:ascii="Times New Roman" w:eastAsia="Times New Roman" w:hAnsi="Times New Roman" w:cs="Times New Roman"/>
              </w:rPr>
              <w:t xml:space="preserve">%) </w:t>
            </w:r>
          </w:p>
        </w:tc>
      </w:tr>
    </w:tbl>
    <w:p w:rsidR="00B616D7" w:rsidRDefault="00B616D7">
      <w:pPr>
        <w:spacing w:after="37" w:line="240" w:lineRule="auto"/>
        <w:ind w:left="136"/>
      </w:pPr>
      <w:bookmarkStart w:id="0" w:name="_GoBack"/>
      <w:bookmarkEnd w:id="0"/>
    </w:p>
    <w:p w:rsidR="00B616D7" w:rsidRDefault="00FA4379">
      <w:pPr>
        <w:spacing w:after="37" w:line="240" w:lineRule="auto"/>
        <w:ind w:left="136"/>
      </w:pPr>
      <w:r>
        <w:rPr>
          <w:rFonts w:ascii="Times New Roman" w:eastAsia="Times New Roman" w:hAnsi="Times New Roman" w:cs="Times New Roman"/>
          <w:sz w:val="20"/>
        </w:rPr>
        <w:t xml:space="preserve"> </w:t>
      </w:r>
    </w:p>
    <w:p w:rsidR="00B616D7" w:rsidRDefault="00FA4379">
      <w:pPr>
        <w:spacing w:after="37" w:line="240" w:lineRule="auto"/>
        <w:ind w:left="136"/>
      </w:pPr>
      <w:r>
        <w:rPr>
          <w:rFonts w:ascii="Times New Roman" w:eastAsia="Times New Roman" w:hAnsi="Times New Roman" w:cs="Times New Roman"/>
          <w:sz w:val="20"/>
        </w:rPr>
        <w:t xml:space="preserve"> </w:t>
      </w:r>
    </w:p>
    <w:p w:rsidR="00B616D7" w:rsidRDefault="00FA4379">
      <w:pPr>
        <w:spacing w:after="35" w:line="240" w:lineRule="auto"/>
        <w:ind w:left="136"/>
      </w:pPr>
      <w:r>
        <w:rPr>
          <w:rFonts w:ascii="Times New Roman" w:eastAsia="Times New Roman" w:hAnsi="Times New Roman" w:cs="Times New Roman"/>
          <w:sz w:val="20"/>
        </w:rPr>
        <w:t xml:space="preserve"> </w:t>
      </w:r>
    </w:p>
    <w:p w:rsidR="00B616D7" w:rsidRDefault="00FA4379">
      <w:pPr>
        <w:spacing w:after="37" w:line="240" w:lineRule="auto"/>
        <w:ind w:left="136"/>
      </w:pPr>
      <w:r>
        <w:rPr>
          <w:rFonts w:ascii="Times New Roman" w:eastAsia="Times New Roman" w:hAnsi="Times New Roman" w:cs="Times New Roman"/>
          <w:sz w:val="20"/>
        </w:rPr>
        <w:t xml:space="preserve"> </w:t>
      </w:r>
    </w:p>
    <w:p w:rsidR="00B616D7" w:rsidRDefault="00FA4379" w:rsidP="00FA4379">
      <w:pPr>
        <w:spacing w:after="37" w:line="240" w:lineRule="auto"/>
        <w:ind w:left="136"/>
      </w:pPr>
      <w:r>
        <w:rPr>
          <w:rFonts w:ascii="Times New Roman" w:eastAsia="Times New Roman" w:hAnsi="Times New Roman" w:cs="Times New Roman"/>
          <w:sz w:val="20"/>
        </w:rPr>
        <w:t xml:space="preserve"> </w:t>
      </w:r>
    </w:p>
    <w:sectPr w:rsidR="00B616D7">
      <w:pgSz w:w="11909" w:h="16834"/>
      <w:pgMar w:top="799" w:right="828" w:bottom="1022" w:left="10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6D7"/>
    <w:rsid w:val="00B616D7"/>
    <w:rsid w:val="00FA4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171B57-B9EB-4D81-B4B7-1179EDD5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2023-09-25T17:37:00Z</dcterms:created>
  <dcterms:modified xsi:type="dcterms:W3CDTF">2023-09-25T17:37:00Z</dcterms:modified>
</cp:coreProperties>
</file>