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11C" w:rsidRDefault="004012D8">
      <w:pPr>
        <w:spacing w:after="239" w:line="237" w:lineRule="auto"/>
        <w:ind w:left="121" w:right="448" w:firstLine="566"/>
        <w:jc w:val="both"/>
      </w:pPr>
      <w:r>
        <w:rPr>
          <w:rFonts w:ascii="Times New Roman" w:eastAsia="Times New Roman" w:hAnsi="Times New Roman" w:cs="Times New Roman"/>
          <w:sz w:val="20"/>
        </w:rPr>
        <w:t>In exercise of the powers conferred by clause (a) of sub-section (1) of section 26 of the Mines and Minerals (Development and Regulation) Act, 1957 (67 of 1957), the Central Government hereby directs that on and from the date of publication of this notific</w:t>
      </w:r>
      <w:r>
        <w:rPr>
          <w:rFonts w:ascii="Times New Roman" w:eastAsia="Times New Roman" w:hAnsi="Times New Roman" w:cs="Times New Roman"/>
          <w:sz w:val="20"/>
        </w:rPr>
        <w:t xml:space="preserve">ation in the Official </w:t>
      </w:r>
      <w:proofErr w:type="spellStart"/>
      <w:r>
        <w:rPr>
          <w:rFonts w:ascii="Times New Roman" w:eastAsia="Times New Roman" w:hAnsi="Times New Roman" w:cs="Times New Roman"/>
          <w:sz w:val="20"/>
        </w:rPr>
        <w:t>Gazette,the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powersof</w:t>
      </w:r>
      <w:proofErr w:type="spellEnd"/>
      <w:r>
        <w:rPr>
          <w:rFonts w:ascii="Times New Roman" w:eastAsia="Times New Roman" w:hAnsi="Times New Roman" w:cs="Times New Roman"/>
          <w:sz w:val="20"/>
        </w:rPr>
        <w:t xml:space="preserve"> the Central Government under section 11A of the said </w:t>
      </w:r>
      <w:proofErr w:type="spellStart"/>
      <w:r>
        <w:rPr>
          <w:rFonts w:ascii="Times New Roman" w:eastAsia="Times New Roman" w:hAnsi="Times New Roman" w:cs="Times New Roman"/>
          <w:sz w:val="20"/>
        </w:rPr>
        <w:t>Actin</w:t>
      </w:r>
      <w:proofErr w:type="spellEnd"/>
      <w:r>
        <w:rPr>
          <w:rFonts w:ascii="Times New Roman" w:eastAsia="Times New Roman" w:hAnsi="Times New Roman" w:cs="Times New Roman"/>
          <w:sz w:val="20"/>
        </w:rPr>
        <w:t xml:space="preserve"> accordance with the Coal Bocks Allocation Rules, 2017 shall </w:t>
      </w:r>
      <w:proofErr w:type="spellStart"/>
      <w:r>
        <w:rPr>
          <w:rFonts w:ascii="Times New Roman" w:eastAsia="Times New Roman" w:hAnsi="Times New Roman" w:cs="Times New Roman"/>
          <w:sz w:val="20"/>
        </w:rPr>
        <w:t>alsobe</w:t>
      </w:r>
      <w:proofErr w:type="spellEnd"/>
      <w:r>
        <w:rPr>
          <w:rFonts w:ascii="Times New Roman" w:eastAsia="Times New Roman" w:hAnsi="Times New Roman" w:cs="Times New Roman"/>
          <w:sz w:val="20"/>
        </w:rPr>
        <w:t xml:space="preserve"> exercisable by </w:t>
      </w:r>
      <w:proofErr w:type="spellStart"/>
      <w:r>
        <w:rPr>
          <w:rFonts w:ascii="Times New Roman" w:eastAsia="Times New Roman" w:hAnsi="Times New Roman" w:cs="Times New Roman"/>
          <w:sz w:val="20"/>
        </w:rPr>
        <w:t>thenominated</w:t>
      </w:r>
      <w:proofErr w:type="spellEnd"/>
      <w:r>
        <w:rPr>
          <w:rFonts w:ascii="Times New Roman" w:eastAsia="Times New Roman" w:hAnsi="Times New Roman" w:cs="Times New Roman"/>
          <w:sz w:val="20"/>
        </w:rPr>
        <w:t xml:space="preserve"> authority appointed under section 6 of the Coal Mines (Spec</w:t>
      </w:r>
      <w:r>
        <w:rPr>
          <w:rFonts w:ascii="Times New Roman" w:eastAsia="Times New Roman" w:hAnsi="Times New Roman" w:cs="Times New Roman"/>
          <w:sz w:val="20"/>
        </w:rPr>
        <w:t xml:space="preserve">ial Provisions) Act, 2015 (No. 11 of 2015).  </w:t>
      </w:r>
    </w:p>
    <w:p w:rsidR="009E211C" w:rsidRDefault="004012D8">
      <w:pPr>
        <w:numPr>
          <w:ilvl w:val="0"/>
          <w:numId w:val="3"/>
        </w:numPr>
        <w:spacing w:after="146" w:line="237" w:lineRule="auto"/>
        <w:ind w:left="687" w:right="213" w:hanging="566"/>
        <w:jc w:val="both"/>
      </w:pPr>
      <w:r>
        <w:rPr>
          <w:rFonts w:ascii="Times New Roman" w:eastAsia="Times New Roman" w:hAnsi="Times New Roman" w:cs="Times New Roman"/>
          <w:sz w:val="20"/>
        </w:rPr>
        <w:t>Without prejudice to the generality of the foregoing powers, the nominated authority shall</w:t>
      </w:r>
      <w:r>
        <w:rPr>
          <w:rFonts w:ascii="Times New Roman" w:eastAsia="Times New Roman" w:hAnsi="Times New Roman" w:cs="Times New Roman"/>
          <w:b/>
          <w:sz w:val="20"/>
        </w:rPr>
        <w:t>—</w:t>
      </w:r>
      <w:r>
        <w:rPr>
          <w:rFonts w:ascii="Times New Roman" w:eastAsia="Times New Roman" w:hAnsi="Times New Roman" w:cs="Times New Roman"/>
          <w:sz w:val="20"/>
        </w:rPr>
        <w:t xml:space="preserve"> </w:t>
      </w:r>
    </w:p>
    <w:p w:rsidR="009E211C" w:rsidRDefault="004012D8">
      <w:pPr>
        <w:numPr>
          <w:ilvl w:val="1"/>
          <w:numId w:val="3"/>
        </w:numPr>
        <w:spacing w:after="146" w:line="237" w:lineRule="auto"/>
        <w:ind w:left="911" w:right="450" w:hanging="530"/>
        <w:jc w:val="both"/>
      </w:pPr>
      <w:r>
        <w:rPr>
          <w:rFonts w:ascii="Times New Roman" w:eastAsia="Times New Roman" w:hAnsi="Times New Roman" w:cs="Times New Roman"/>
          <w:sz w:val="20"/>
        </w:rPr>
        <w:t>call for all information necessary from any person or authority in relation to any coal or lignite block, including r</w:t>
      </w:r>
      <w:r>
        <w:rPr>
          <w:rFonts w:ascii="Times New Roman" w:eastAsia="Times New Roman" w:hAnsi="Times New Roman" w:cs="Times New Roman"/>
          <w:sz w:val="20"/>
        </w:rPr>
        <w:t xml:space="preserve">ecords in relation to the mineral reserves, production, costs of production, mine infrastructure and the like and prepare block dossier;  </w:t>
      </w:r>
    </w:p>
    <w:p w:rsidR="009E211C" w:rsidRDefault="004012D8">
      <w:pPr>
        <w:numPr>
          <w:ilvl w:val="1"/>
          <w:numId w:val="3"/>
        </w:numPr>
        <w:spacing w:after="146" w:line="237" w:lineRule="auto"/>
        <w:ind w:left="911" w:right="450" w:hanging="530"/>
        <w:jc w:val="both"/>
      </w:pPr>
      <w:r>
        <w:rPr>
          <w:rFonts w:ascii="Times New Roman" w:eastAsia="Times New Roman" w:hAnsi="Times New Roman" w:cs="Times New Roman"/>
          <w:sz w:val="20"/>
        </w:rPr>
        <w:t xml:space="preserve">prepare tender document, auction and allotment conditions, model agreement to be entered with the successful </w:t>
      </w:r>
      <w:proofErr w:type="spellStart"/>
      <w:r>
        <w:rPr>
          <w:rFonts w:ascii="Times New Roman" w:eastAsia="Times New Roman" w:hAnsi="Times New Roman" w:cs="Times New Roman"/>
          <w:sz w:val="20"/>
        </w:rPr>
        <w:t>allocate</w:t>
      </w:r>
      <w:r>
        <w:rPr>
          <w:rFonts w:ascii="Times New Roman" w:eastAsia="Times New Roman" w:hAnsi="Times New Roman" w:cs="Times New Roman"/>
          <w:sz w:val="20"/>
        </w:rPr>
        <w:t>es</w:t>
      </w:r>
      <w:proofErr w:type="spellEnd"/>
      <w:r>
        <w:rPr>
          <w:rFonts w:ascii="Times New Roman" w:eastAsia="Times New Roman" w:hAnsi="Times New Roman" w:cs="Times New Roman"/>
          <w:sz w:val="20"/>
        </w:rPr>
        <w:t xml:space="preserve"> or any other documents required for conduct of auction and allotment; </w:t>
      </w:r>
    </w:p>
    <w:p w:rsidR="009E211C" w:rsidRDefault="004012D8">
      <w:pPr>
        <w:numPr>
          <w:ilvl w:val="1"/>
          <w:numId w:val="3"/>
        </w:numPr>
        <w:spacing w:after="146" w:line="237" w:lineRule="auto"/>
        <w:ind w:left="911" w:right="450" w:hanging="530"/>
        <w:jc w:val="both"/>
      </w:pPr>
      <w:r>
        <w:rPr>
          <w:rFonts w:ascii="Times New Roman" w:eastAsia="Times New Roman" w:hAnsi="Times New Roman" w:cs="Times New Roman"/>
          <w:sz w:val="20"/>
        </w:rPr>
        <w:t xml:space="preserve">after conducting the allocation process, declare the name of preferred bidder or preferred </w:t>
      </w:r>
      <w:proofErr w:type="spellStart"/>
      <w:r>
        <w:rPr>
          <w:rFonts w:ascii="Times New Roman" w:eastAsia="Times New Roman" w:hAnsi="Times New Roman" w:cs="Times New Roman"/>
          <w:sz w:val="20"/>
        </w:rPr>
        <w:t>allottee</w:t>
      </w:r>
      <w:proofErr w:type="spellEnd"/>
      <w:r>
        <w:rPr>
          <w:rFonts w:ascii="Times New Roman" w:eastAsia="Times New Roman" w:hAnsi="Times New Roman" w:cs="Times New Roman"/>
          <w:sz w:val="20"/>
        </w:rPr>
        <w:t xml:space="preserve"> and forward its recommendations to the Central Government for approval; </w:t>
      </w:r>
    </w:p>
    <w:p w:rsidR="009E211C" w:rsidRDefault="004012D8">
      <w:pPr>
        <w:numPr>
          <w:ilvl w:val="1"/>
          <w:numId w:val="3"/>
        </w:numPr>
        <w:spacing w:after="146" w:line="331" w:lineRule="auto"/>
        <w:ind w:left="911" w:right="450" w:hanging="530"/>
        <w:jc w:val="both"/>
      </w:pPr>
      <w:r>
        <w:rPr>
          <w:rFonts w:ascii="Times New Roman" w:eastAsia="Times New Roman" w:hAnsi="Times New Roman" w:cs="Times New Roman"/>
          <w:sz w:val="20"/>
        </w:rPr>
        <w:t>upon rece</w:t>
      </w:r>
      <w:r>
        <w:rPr>
          <w:rFonts w:ascii="Times New Roman" w:eastAsia="Times New Roman" w:hAnsi="Times New Roman" w:cs="Times New Roman"/>
          <w:sz w:val="20"/>
        </w:rPr>
        <w:t xml:space="preserve">ipt of the direction from the Central Government, enter into agreement related to block development and production with the successful </w:t>
      </w:r>
      <w:proofErr w:type="spellStart"/>
      <w:r>
        <w:rPr>
          <w:rFonts w:ascii="Times New Roman" w:eastAsia="Times New Roman" w:hAnsi="Times New Roman" w:cs="Times New Roman"/>
          <w:sz w:val="20"/>
        </w:rPr>
        <w:t>allocatee</w:t>
      </w:r>
      <w:proofErr w:type="spellEnd"/>
      <w:r>
        <w:rPr>
          <w:rFonts w:ascii="Times New Roman" w:eastAsia="Times New Roman" w:hAnsi="Times New Roman" w:cs="Times New Roman"/>
          <w:sz w:val="20"/>
        </w:rPr>
        <w:t xml:space="preserve"> or cancel the allocation process; (v)</w:t>
      </w:r>
      <w:r>
        <w:rPr>
          <w:rFonts w:ascii="Arial" w:eastAsia="Arial" w:hAnsi="Arial" w:cs="Arial"/>
          <w:sz w:val="20"/>
        </w:rPr>
        <w:t xml:space="preserve"> </w:t>
      </w:r>
      <w:r>
        <w:rPr>
          <w:rFonts w:ascii="Times New Roman" w:eastAsia="Times New Roman" w:hAnsi="Times New Roman" w:cs="Times New Roman"/>
          <w:sz w:val="20"/>
        </w:rPr>
        <w:t xml:space="preserve">execute the allocation order; </w:t>
      </w:r>
    </w:p>
    <w:p w:rsidR="009E211C" w:rsidRDefault="004012D8">
      <w:pPr>
        <w:numPr>
          <w:ilvl w:val="1"/>
          <w:numId w:val="4"/>
        </w:numPr>
        <w:spacing w:after="146" w:line="237" w:lineRule="auto"/>
        <w:ind w:right="-15" w:hanging="629"/>
        <w:jc w:val="both"/>
      </w:pPr>
      <w:r>
        <w:rPr>
          <w:rFonts w:ascii="Times New Roman" w:eastAsia="Times New Roman" w:hAnsi="Times New Roman" w:cs="Times New Roman"/>
          <w:sz w:val="20"/>
        </w:rPr>
        <w:t>inform the relevant Central Government aut</w:t>
      </w:r>
      <w:r>
        <w:rPr>
          <w:rFonts w:ascii="Times New Roman" w:eastAsia="Times New Roman" w:hAnsi="Times New Roman" w:cs="Times New Roman"/>
          <w:sz w:val="20"/>
        </w:rPr>
        <w:t xml:space="preserve">horities and State Government authorities to act in pursuance of the allocation order and the provisions of the Act and rules framed thereunder;  </w:t>
      </w:r>
    </w:p>
    <w:p w:rsidR="009E211C" w:rsidRDefault="004012D8">
      <w:pPr>
        <w:numPr>
          <w:ilvl w:val="1"/>
          <w:numId w:val="4"/>
        </w:numPr>
        <w:spacing w:after="146" w:line="237" w:lineRule="auto"/>
        <w:ind w:right="-15" w:hanging="629"/>
        <w:jc w:val="both"/>
      </w:pPr>
      <w:r>
        <w:rPr>
          <w:rFonts w:ascii="Times New Roman" w:eastAsia="Times New Roman" w:hAnsi="Times New Roman" w:cs="Times New Roman"/>
          <w:sz w:val="20"/>
        </w:rPr>
        <w:t xml:space="preserve">take requisite steps for the collection of auction proceeds and the amounts realised from allotment; </w:t>
      </w:r>
    </w:p>
    <w:p w:rsidR="009E211C" w:rsidRDefault="004012D8">
      <w:pPr>
        <w:numPr>
          <w:ilvl w:val="1"/>
          <w:numId w:val="4"/>
        </w:numPr>
        <w:spacing w:line="237" w:lineRule="auto"/>
        <w:ind w:right="-15" w:hanging="629"/>
        <w:jc w:val="both"/>
      </w:pPr>
      <w:r>
        <w:rPr>
          <w:rFonts w:ascii="Times New Roman" w:eastAsia="Times New Roman" w:hAnsi="Times New Roman" w:cs="Times New Roman"/>
          <w:sz w:val="20"/>
        </w:rPr>
        <w:t>collect</w:t>
      </w:r>
      <w:r>
        <w:rPr>
          <w:rFonts w:ascii="Times New Roman" w:eastAsia="Times New Roman" w:hAnsi="Times New Roman" w:cs="Times New Roman"/>
          <w:sz w:val="20"/>
        </w:rPr>
        <w:t xml:space="preserve"> performance bank guarantee from the successful </w:t>
      </w:r>
      <w:proofErr w:type="spellStart"/>
      <w:r>
        <w:rPr>
          <w:rFonts w:ascii="Times New Roman" w:eastAsia="Times New Roman" w:hAnsi="Times New Roman" w:cs="Times New Roman"/>
          <w:sz w:val="20"/>
        </w:rPr>
        <w:t>allocatee</w:t>
      </w:r>
      <w:proofErr w:type="spellEnd"/>
      <w:r>
        <w:rPr>
          <w:rFonts w:ascii="Times New Roman" w:eastAsia="Times New Roman" w:hAnsi="Times New Roman" w:cs="Times New Roman"/>
          <w:sz w:val="20"/>
        </w:rPr>
        <w:t xml:space="preserve"> and invoke such bank guarantee in accordance with the terms of allocation;  </w:t>
      </w:r>
    </w:p>
    <w:p w:rsidR="009E211C" w:rsidRDefault="009E211C">
      <w:pPr>
        <w:spacing w:after="24" w:line="240" w:lineRule="auto"/>
        <w:ind w:left="136"/>
      </w:pPr>
    </w:p>
    <w:p w:rsidR="009E211C" w:rsidRDefault="009E211C">
      <w:pPr>
        <w:spacing w:after="115" w:line="240" w:lineRule="auto"/>
        <w:ind w:right="109"/>
        <w:jc w:val="right"/>
      </w:pPr>
    </w:p>
    <w:p w:rsidR="009E211C" w:rsidRDefault="004012D8">
      <w:pPr>
        <w:numPr>
          <w:ilvl w:val="1"/>
          <w:numId w:val="4"/>
        </w:numPr>
        <w:spacing w:after="146" w:line="237" w:lineRule="auto"/>
        <w:ind w:right="-15" w:hanging="629"/>
        <w:jc w:val="both"/>
      </w:pPr>
      <w:r>
        <w:rPr>
          <w:rFonts w:ascii="Times New Roman" w:eastAsia="Times New Roman" w:hAnsi="Times New Roman" w:cs="Times New Roman"/>
          <w:sz w:val="20"/>
        </w:rPr>
        <w:t xml:space="preserve">call for information from the relevant statutory authorities under the Act and any rules made or regulations framed thereunder;  </w:t>
      </w:r>
    </w:p>
    <w:p w:rsidR="009E211C" w:rsidRDefault="004012D8">
      <w:pPr>
        <w:numPr>
          <w:ilvl w:val="1"/>
          <w:numId w:val="4"/>
        </w:numPr>
        <w:spacing w:after="146" w:line="395" w:lineRule="auto"/>
        <w:ind w:right="-15" w:hanging="629"/>
        <w:jc w:val="both"/>
      </w:pPr>
      <w:proofErr w:type="gramStart"/>
      <w:r>
        <w:rPr>
          <w:rFonts w:ascii="Times New Roman" w:eastAsia="Times New Roman" w:hAnsi="Times New Roman" w:cs="Times New Roman"/>
          <w:sz w:val="20"/>
        </w:rPr>
        <w:t>open</w:t>
      </w:r>
      <w:proofErr w:type="gramEnd"/>
      <w:r>
        <w:rPr>
          <w:rFonts w:ascii="Times New Roman" w:eastAsia="Times New Roman" w:hAnsi="Times New Roman" w:cs="Times New Roman"/>
          <w:sz w:val="20"/>
        </w:rPr>
        <w:t>, operate and maintain one or more bank accounts for discharge of its functions; and (xi)</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0"/>
        </w:rPr>
        <w:t xml:space="preserve">engage experts and advisors to </w:t>
      </w:r>
      <w:r>
        <w:rPr>
          <w:rFonts w:ascii="Times New Roman" w:eastAsia="Times New Roman" w:hAnsi="Times New Roman" w:cs="Times New Roman"/>
          <w:sz w:val="20"/>
        </w:rPr>
        <w:t xml:space="preserve">assist it in discharge of its functions. </w:t>
      </w:r>
    </w:p>
    <w:p w:rsidR="009E211C" w:rsidRDefault="004012D8">
      <w:pPr>
        <w:numPr>
          <w:ilvl w:val="0"/>
          <w:numId w:val="3"/>
        </w:numPr>
        <w:spacing w:after="146" w:line="237" w:lineRule="auto"/>
        <w:ind w:left="687" w:right="213" w:hanging="566"/>
        <w:jc w:val="both"/>
      </w:pPr>
      <w:r>
        <w:rPr>
          <w:rFonts w:ascii="Times New Roman" w:eastAsia="Times New Roman" w:hAnsi="Times New Roman" w:cs="Times New Roman"/>
          <w:sz w:val="20"/>
        </w:rPr>
        <w:t xml:space="preserve">The nominated authority shall be bound by the written direction given by the Central </w:t>
      </w:r>
      <w:proofErr w:type="spellStart"/>
      <w:r>
        <w:rPr>
          <w:rFonts w:ascii="Times New Roman" w:eastAsia="Times New Roman" w:hAnsi="Times New Roman" w:cs="Times New Roman"/>
          <w:sz w:val="20"/>
        </w:rPr>
        <w:t>Governmenton</w:t>
      </w:r>
      <w:proofErr w:type="spellEnd"/>
      <w:r>
        <w:rPr>
          <w:rFonts w:ascii="Times New Roman" w:eastAsia="Times New Roman" w:hAnsi="Times New Roman" w:cs="Times New Roman"/>
          <w:sz w:val="20"/>
        </w:rPr>
        <w:t xml:space="preserve"> the question of policy. </w:t>
      </w:r>
    </w:p>
    <w:p w:rsidR="009E211C" w:rsidRDefault="004012D8">
      <w:pPr>
        <w:spacing w:after="118" w:line="240" w:lineRule="auto"/>
        <w:ind w:left="856"/>
      </w:pPr>
      <w:r>
        <w:rPr>
          <w:rFonts w:ascii="Times New Roman" w:eastAsia="Times New Roman" w:hAnsi="Times New Roman" w:cs="Times New Roman"/>
          <w:sz w:val="20"/>
        </w:rPr>
        <w:t xml:space="preserve"> </w:t>
      </w:r>
    </w:p>
    <w:p w:rsidR="009E211C" w:rsidRDefault="009E211C">
      <w:pPr>
        <w:spacing w:after="101" w:line="240" w:lineRule="auto"/>
        <w:ind w:left="856"/>
      </w:pPr>
    </w:p>
    <w:p w:rsidR="009E211C" w:rsidRDefault="004012D8">
      <w:pPr>
        <w:spacing w:after="101" w:line="240" w:lineRule="auto"/>
        <w:ind w:left="856"/>
      </w:pPr>
      <w:r>
        <w:rPr>
          <w:rFonts w:ascii="Times New Roman" w:eastAsia="Times New Roman" w:hAnsi="Times New Roman" w:cs="Times New Roman"/>
        </w:rPr>
        <w:t xml:space="preserve"> </w:t>
      </w:r>
    </w:p>
    <w:p w:rsidR="009E211C" w:rsidRDefault="004012D8">
      <w:pPr>
        <w:spacing w:after="101" w:line="240" w:lineRule="auto"/>
        <w:ind w:left="136"/>
      </w:pPr>
      <w:r>
        <w:rPr>
          <w:rFonts w:ascii="Times New Roman" w:eastAsia="Times New Roman" w:hAnsi="Times New Roman" w:cs="Times New Roman"/>
        </w:rPr>
        <w:t xml:space="preserve"> </w:t>
      </w:r>
    </w:p>
    <w:p w:rsidR="009E211C" w:rsidRDefault="004012D8">
      <w:pPr>
        <w:spacing w:after="101" w:line="240" w:lineRule="auto"/>
        <w:ind w:left="856"/>
      </w:pPr>
      <w:r>
        <w:rPr>
          <w:rFonts w:ascii="Times New Roman" w:eastAsia="Times New Roman" w:hAnsi="Times New Roman" w:cs="Times New Roman"/>
        </w:rPr>
        <w:t xml:space="preserve"> </w:t>
      </w:r>
    </w:p>
    <w:p w:rsidR="009E211C" w:rsidRDefault="004012D8">
      <w:pPr>
        <w:spacing w:after="101" w:line="240" w:lineRule="auto"/>
        <w:ind w:left="856"/>
      </w:pPr>
      <w:r>
        <w:rPr>
          <w:rFonts w:ascii="Times New Roman" w:eastAsia="Times New Roman" w:hAnsi="Times New Roman" w:cs="Times New Roman"/>
        </w:rPr>
        <w:t xml:space="preserve"> </w:t>
      </w:r>
    </w:p>
    <w:p w:rsidR="009E211C" w:rsidRDefault="004012D8">
      <w:pPr>
        <w:spacing w:after="104" w:line="240" w:lineRule="auto"/>
        <w:ind w:left="856"/>
      </w:pPr>
      <w:r>
        <w:rPr>
          <w:rFonts w:ascii="Times New Roman" w:eastAsia="Times New Roman" w:hAnsi="Times New Roman" w:cs="Times New Roman"/>
        </w:rPr>
        <w:t xml:space="preserve"> </w:t>
      </w:r>
    </w:p>
    <w:p w:rsidR="009E211C" w:rsidRDefault="004012D8">
      <w:pPr>
        <w:spacing w:after="101" w:line="240" w:lineRule="auto"/>
        <w:ind w:left="856"/>
      </w:pPr>
      <w:r>
        <w:rPr>
          <w:rFonts w:ascii="Times New Roman" w:eastAsia="Times New Roman" w:hAnsi="Times New Roman" w:cs="Times New Roman"/>
        </w:rPr>
        <w:t xml:space="preserve"> </w:t>
      </w:r>
    </w:p>
    <w:p w:rsidR="009E211C" w:rsidRDefault="004012D8">
      <w:pPr>
        <w:spacing w:after="101" w:line="240" w:lineRule="auto"/>
        <w:ind w:left="856"/>
      </w:pPr>
      <w:r>
        <w:rPr>
          <w:rFonts w:ascii="Times New Roman" w:eastAsia="Times New Roman" w:hAnsi="Times New Roman" w:cs="Times New Roman"/>
        </w:rPr>
        <w:t xml:space="preserve"> </w:t>
      </w:r>
    </w:p>
    <w:p w:rsidR="009E211C" w:rsidRDefault="004012D8">
      <w:pPr>
        <w:spacing w:after="102" w:line="240" w:lineRule="auto"/>
        <w:ind w:left="856"/>
      </w:pPr>
      <w:r>
        <w:rPr>
          <w:rFonts w:ascii="Times New Roman" w:eastAsia="Times New Roman" w:hAnsi="Times New Roman" w:cs="Times New Roman"/>
        </w:rPr>
        <w:t xml:space="preserve"> </w:t>
      </w:r>
    </w:p>
    <w:p w:rsidR="009E211C" w:rsidRDefault="004012D8">
      <w:pPr>
        <w:spacing w:after="101" w:line="240" w:lineRule="auto"/>
        <w:ind w:left="856"/>
      </w:pPr>
      <w:r>
        <w:rPr>
          <w:rFonts w:ascii="Times New Roman" w:eastAsia="Times New Roman" w:hAnsi="Times New Roman" w:cs="Times New Roman"/>
        </w:rPr>
        <w:t xml:space="preserve"> </w:t>
      </w:r>
    </w:p>
    <w:p w:rsidR="009E211C" w:rsidRDefault="004012D8">
      <w:pPr>
        <w:spacing w:after="101" w:line="240" w:lineRule="auto"/>
        <w:ind w:left="856"/>
      </w:pPr>
      <w:r>
        <w:rPr>
          <w:rFonts w:ascii="Times New Roman" w:eastAsia="Times New Roman" w:hAnsi="Times New Roman" w:cs="Times New Roman"/>
        </w:rPr>
        <w:t xml:space="preserve"> </w:t>
      </w:r>
    </w:p>
    <w:p w:rsidR="009E211C" w:rsidRDefault="004012D8">
      <w:pPr>
        <w:spacing w:after="104" w:line="240" w:lineRule="auto"/>
        <w:ind w:left="856"/>
      </w:pPr>
      <w:r>
        <w:rPr>
          <w:rFonts w:ascii="Times New Roman" w:eastAsia="Times New Roman" w:hAnsi="Times New Roman" w:cs="Times New Roman"/>
        </w:rPr>
        <w:t xml:space="preserve"> </w:t>
      </w:r>
    </w:p>
    <w:p w:rsidR="009E211C" w:rsidRDefault="004012D8">
      <w:pPr>
        <w:spacing w:after="101" w:line="240" w:lineRule="auto"/>
        <w:ind w:left="856"/>
      </w:pPr>
      <w:r>
        <w:rPr>
          <w:rFonts w:ascii="Times New Roman" w:eastAsia="Times New Roman" w:hAnsi="Times New Roman" w:cs="Times New Roman"/>
        </w:rPr>
        <w:t xml:space="preserve"> </w:t>
      </w:r>
    </w:p>
    <w:p w:rsidR="009E211C" w:rsidRDefault="004012D8">
      <w:pPr>
        <w:spacing w:after="101" w:line="240" w:lineRule="auto"/>
        <w:ind w:left="856"/>
      </w:pPr>
      <w:r>
        <w:rPr>
          <w:rFonts w:ascii="Times New Roman" w:eastAsia="Times New Roman" w:hAnsi="Times New Roman" w:cs="Times New Roman"/>
        </w:rPr>
        <w:t xml:space="preserve"> </w:t>
      </w:r>
    </w:p>
    <w:p w:rsidR="009E211C" w:rsidRDefault="004012D8">
      <w:pPr>
        <w:spacing w:after="101" w:line="240" w:lineRule="auto"/>
        <w:ind w:left="856"/>
      </w:pPr>
      <w:r>
        <w:rPr>
          <w:rFonts w:ascii="Times New Roman" w:eastAsia="Times New Roman" w:hAnsi="Times New Roman" w:cs="Times New Roman"/>
        </w:rPr>
        <w:lastRenderedPageBreak/>
        <w:t xml:space="preserve"> </w:t>
      </w:r>
    </w:p>
    <w:p w:rsidR="009E211C" w:rsidRDefault="004012D8">
      <w:pPr>
        <w:spacing w:after="101" w:line="240" w:lineRule="auto"/>
        <w:ind w:left="856"/>
      </w:pPr>
      <w:r>
        <w:rPr>
          <w:rFonts w:ascii="Times New Roman" w:eastAsia="Times New Roman" w:hAnsi="Times New Roman" w:cs="Times New Roman"/>
        </w:rPr>
        <w:t xml:space="preserve"> </w:t>
      </w:r>
    </w:p>
    <w:p w:rsidR="009E211C" w:rsidRDefault="004012D8">
      <w:pPr>
        <w:spacing w:after="101" w:line="240" w:lineRule="auto"/>
        <w:ind w:left="856"/>
      </w:pPr>
      <w:r>
        <w:rPr>
          <w:rFonts w:ascii="Times New Roman" w:eastAsia="Times New Roman" w:hAnsi="Times New Roman" w:cs="Times New Roman"/>
        </w:rPr>
        <w:t xml:space="preserve"> </w:t>
      </w:r>
    </w:p>
    <w:p w:rsidR="009E211C" w:rsidRDefault="004012D8">
      <w:pPr>
        <w:spacing w:after="101" w:line="240" w:lineRule="auto"/>
        <w:ind w:left="856"/>
      </w:pPr>
      <w:r>
        <w:rPr>
          <w:rFonts w:ascii="Times New Roman" w:eastAsia="Times New Roman" w:hAnsi="Times New Roman" w:cs="Times New Roman"/>
        </w:rPr>
        <w:t xml:space="preserve"> </w:t>
      </w:r>
    </w:p>
    <w:p w:rsidR="009E211C" w:rsidRDefault="004012D8">
      <w:pPr>
        <w:spacing w:after="104" w:line="240" w:lineRule="auto"/>
        <w:ind w:left="856"/>
      </w:pPr>
      <w:r>
        <w:rPr>
          <w:rFonts w:ascii="Times New Roman" w:eastAsia="Times New Roman" w:hAnsi="Times New Roman" w:cs="Times New Roman"/>
        </w:rPr>
        <w:t xml:space="preserve"> </w:t>
      </w:r>
    </w:p>
    <w:p w:rsidR="009E211C" w:rsidRDefault="004012D8">
      <w:pPr>
        <w:spacing w:after="101" w:line="240" w:lineRule="auto"/>
        <w:ind w:left="856"/>
      </w:pPr>
      <w:r>
        <w:rPr>
          <w:rFonts w:ascii="Times New Roman" w:eastAsia="Times New Roman" w:hAnsi="Times New Roman" w:cs="Times New Roman"/>
        </w:rPr>
        <w:t xml:space="preserve"> </w:t>
      </w:r>
    </w:p>
    <w:p w:rsidR="009E211C" w:rsidRDefault="004012D8">
      <w:pPr>
        <w:spacing w:after="101" w:line="240" w:lineRule="auto"/>
        <w:ind w:left="856"/>
      </w:pPr>
      <w:r>
        <w:rPr>
          <w:rFonts w:ascii="Times New Roman" w:eastAsia="Times New Roman" w:hAnsi="Times New Roman" w:cs="Times New Roman"/>
        </w:rPr>
        <w:t xml:space="preserve"> </w:t>
      </w:r>
    </w:p>
    <w:p w:rsidR="009E211C" w:rsidRDefault="004012D8">
      <w:pPr>
        <w:spacing w:after="101" w:line="240" w:lineRule="auto"/>
        <w:ind w:left="856"/>
      </w:pPr>
      <w:r>
        <w:rPr>
          <w:rFonts w:ascii="Times New Roman" w:eastAsia="Times New Roman" w:hAnsi="Times New Roman" w:cs="Times New Roman"/>
        </w:rPr>
        <w:t xml:space="preserve"> </w:t>
      </w:r>
    </w:p>
    <w:p w:rsidR="009E211C" w:rsidRDefault="004012D8">
      <w:pPr>
        <w:spacing w:after="101" w:line="240" w:lineRule="auto"/>
        <w:ind w:left="856"/>
      </w:pPr>
      <w:r>
        <w:rPr>
          <w:rFonts w:ascii="Times New Roman" w:eastAsia="Times New Roman" w:hAnsi="Times New Roman" w:cs="Times New Roman"/>
        </w:rPr>
        <w:t xml:space="preserve"> </w:t>
      </w:r>
    </w:p>
    <w:p w:rsidR="009E211C" w:rsidRDefault="004012D8">
      <w:pPr>
        <w:spacing w:after="99" w:line="240" w:lineRule="auto"/>
        <w:ind w:left="856"/>
      </w:pPr>
      <w:r>
        <w:rPr>
          <w:rFonts w:ascii="Times New Roman" w:eastAsia="Times New Roman" w:hAnsi="Times New Roman" w:cs="Times New Roman"/>
        </w:rPr>
        <w:t xml:space="preserve"> </w:t>
      </w:r>
      <w:bookmarkStart w:id="0" w:name="_GoBack"/>
      <w:bookmarkEnd w:id="0"/>
    </w:p>
    <w:sectPr w:rsidR="009E211C">
      <w:pgSz w:w="11909" w:h="16834"/>
      <w:pgMar w:top="762" w:right="942" w:bottom="1244" w:left="130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F4BC2"/>
    <w:multiLevelType w:val="hybridMultilevel"/>
    <w:tmpl w:val="35707954"/>
    <w:lvl w:ilvl="0" w:tplc="1214ED30">
      <w:start w:val="1"/>
      <w:numFmt w:val="lowerRoman"/>
      <w:lvlText w:val="(%1)"/>
      <w:lvlJc w:val="left"/>
      <w:pPr>
        <w:ind w:left="853"/>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C7FA6E50">
      <w:start w:val="1"/>
      <w:numFmt w:val="lowerLetter"/>
      <w:lvlText w:val="%2"/>
      <w:lvlJc w:val="left"/>
      <w:pPr>
        <w:ind w:left="1374"/>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5532D97C">
      <w:start w:val="1"/>
      <w:numFmt w:val="lowerRoman"/>
      <w:lvlText w:val="%3"/>
      <w:lvlJc w:val="left"/>
      <w:pPr>
        <w:ind w:left="2094"/>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EC5E68B0">
      <w:start w:val="1"/>
      <w:numFmt w:val="decimal"/>
      <w:lvlText w:val="%4"/>
      <w:lvlJc w:val="left"/>
      <w:pPr>
        <w:ind w:left="2814"/>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AB60ECB0">
      <w:start w:val="1"/>
      <w:numFmt w:val="lowerLetter"/>
      <w:lvlText w:val="%5"/>
      <w:lvlJc w:val="left"/>
      <w:pPr>
        <w:ind w:left="3534"/>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DC1261F8">
      <w:start w:val="1"/>
      <w:numFmt w:val="lowerRoman"/>
      <w:lvlText w:val="%6"/>
      <w:lvlJc w:val="left"/>
      <w:pPr>
        <w:ind w:left="4254"/>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00D2CA86">
      <w:start w:val="1"/>
      <w:numFmt w:val="decimal"/>
      <w:lvlText w:val="%7"/>
      <w:lvlJc w:val="left"/>
      <w:pPr>
        <w:ind w:left="4974"/>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ED0A2D56">
      <w:start w:val="1"/>
      <w:numFmt w:val="lowerLetter"/>
      <w:lvlText w:val="%8"/>
      <w:lvlJc w:val="left"/>
      <w:pPr>
        <w:ind w:left="5694"/>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AA4CC74A">
      <w:start w:val="1"/>
      <w:numFmt w:val="lowerRoman"/>
      <w:lvlText w:val="%9"/>
      <w:lvlJc w:val="left"/>
      <w:pPr>
        <w:ind w:left="6414"/>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
    <w:nsid w:val="09EA0419"/>
    <w:multiLevelType w:val="hybridMultilevel"/>
    <w:tmpl w:val="EB2816F6"/>
    <w:lvl w:ilvl="0" w:tplc="629EC4F8">
      <w:start w:val="4"/>
      <w:numFmt w:val="lowerRoman"/>
      <w:lvlText w:val="(%1)"/>
      <w:lvlJc w:val="left"/>
      <w:pPr>
        <w:ind w:left="964"/>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E7F2ADCA">
      <w:start w:val="1"/>
      <w:numFmt w:val="lowerLetter"/>
      <w:lvlText w:val="%2"/>
      <w:lvlJc w:val="left"/>
      <w:pPr>
        <w:ind w:left="1374"/>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A57C30B4">
      <w:start w:val="1"/>
      <w:numFmt w:val="lowerRoman"/>
      <w:lvlText w:val="%3"/>
      <w:lvlJc w:val="left"/>
      <w:pPr>
        <w:ind w:left="2094"/>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BBFC3346">
      <w:start w:val="1"/>
      <w:numFmt w:val="decimal"/>
      <w:lvlText w:val="%4"/>
      <w:lvlJc w:val="left"/>
      <w:pPr>
        <w:ind w:left="2814"/>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5F4A1926">
      <w:start w:val="1"/>
      <w:numFmt w:val="lowerLetter"/>
      <w:lvlText w:val="%5"/>
      <w:lvlJc w:val="left"/>
      <w:pPr>
        <w:ind w:left="3534"/>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091AAE96">
      <w:start w:val="1"/>
      <w:numFmt w:val="lowerRoman"/>
      <w:lvlText w:val="%6"/>
      <w:lvlJc w:val="left"/>
      <w:pPr>
        <w:ind w:left="4254"/>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4C84D1E2">
      <w:start w:val="1"/>
      <w:numFmt w:val="decimal"/>
      <w:lvlText w:val="%7"/>
      <w:lvlJc w:val="left"/>
      <w:pPr>
        <w:ind w:left="4974"/>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75F6EC96">
      <w:start w:val="1"/>
      <w:numFmt w:val="lowerLetter"/>
      <w:lvlText w:val="%8"/>
      <w:lvlJc w:val="left"/>
      <w:pPr>
        <w:ind w:left="5694"/>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FCDAF2E4">
      <w:start w:val="1"/>
      <w:numFmt w:val="lowerRoman"/>
      <w:lvlText w:val="%9"/>
      <w:lvlJc w:val="left"/>
      <w:pPr>
        <w:ind w:left="6414"/>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2">
    <w:nsid w:val="4FD30712"/>
    <w:multiLevelType w:val="hybridMultilevel"/>
    <w:tmpl w:val="E974A6FE"/>
    <w:lvl w:ilvl="0" w:tplc="E236B776">
      <w:start w:val="2"/>
      <w:numFmt w:val="decimal"/>
      <w:lvlText w:val="%1."/>
      <w:lvlJc w:val="left"/>
      <w:pPr>
        <w:ind w:left="68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D152C93A">
      <w:start w:val="1"/>
      <w:numFmt w:val="lowerRoman"/>
      <w:lvlText w:val="(%2)"/>
      <w:lvlJc w:val="left"/>
      <w:pPr>
        <w:ind w:left="91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64962A38">
      <w:start w:val="1"/>
      <w:numFmt w:val="lowerRoman"/>
      <w:lvlText w:val="%3"/>
      <w:lvlJc w:val="left"/>
      <w:pPr>
        <w:ind w:left="1461"/>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EFAA025C">
      <w:start w:val="1"/>
      <w:numFmt w:val="decimal"/>
      <w:lvlText w:val="%4"/>
      <w:lvlJc w:val="left"/>
      <w:pPr>
        <w:ind w:left="2181"/>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F698D7AC">
      <w:start w:val="1"/>
      <w:numFmt w:val="lowerLetter"/>
      <w:lvlText w:val="%5"/>
      <w:lvlJc w:val="left"/>
      <w:pPr>
        <w:ind w:left="2901"/>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746A8B6A">
      <w:start w:val="1"/>
      <w:numFmt w:val="lowerRoman"/>
      <w:lvlText w:val="%6"/>
      <w:lvlJc w:val="left"/>
      <w:pPr>
        <w:ind w:left="3621"/>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C2E09016">
      <w:start w:val="1"/>
      <w:numFmt w:val="decimal"/>
      <w:lvlText w:val="%7"/>
      <w:lvlJc w:val="left"/>
      <w:pPr>
        <w:ind w:left="4341"/>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3E1045E8">
      <w:start w:val="1"/>
      <w:numFmt w:val="lowerLetter"/>
      <w:lvlText w:val="%8"/>
      <w:lvlJc w:val="left"/>
      <w:pPr>
        <w:ind w:left="5061"/>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2BD4AB30">
      <w:start w:val="1"/>
      <w:numFmt w:val="lowerRoman"/>
      <w:lvlText w:val="%9"/>
      <w:lvlJc w:val="left"/>
      <w:pPr>
        <w:ind w:left="5781"/>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3">
    <w:nsid w:val="61C51E79"/>
    <w:multiLevelType w:val="hybridMultilevel"/>
    <w:tmpl w:val="6C428072"/>
    <w:lvl w:ilvl="0" w:tplc="1B1ED0AC">
      <w:start w:val="1"/>
      <w:numFmt w:val="decimal"/>
      <w:lvlText w:val="%1"/>
      <w:lvlJc w:val="left"/>
      <w:pPr>
        <w:ind w:left="3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0714086C">
      <w:start w:val="6"/>
      <w:numFmt w:val="lowerRoman"/>
      <w:lvlText w:val="(%2)"/>
      <w:lvlJc w:val="left"/>
      <w:pPr>
        <w:ind w:left="96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85D25E50">
      <w:start w:val="1"/>
      <w:numFmt w:val="lowerRoman"/>
      <w:lvlText w:val="%3"/>
      <w:lvlJc w:val="left"/>
      <w:pPr>
        <w:ind w:left="141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9EB27EE4">
      <w:start w:val="1"/>
      <w:numFmt w:val="decimal"/>
      <w:lvlText w:val="%4"/>
      <w:lvlJc w:val="left"/>
      <w:pPr>
        <w:ind w:left="213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80107512">
      <w:start w:val="1"/>
      <w:numFmt w:val="lowerLetter"/>
      <w:lvlText w:val="%5"/>
      <w:lvlJc w:val="left"/>
      <w:pPr>
        <w:ind w:left="285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97CACACA">
      <w:start w:val="1"/>
      <w:numFmt w:val="lowerRoman"/>
      <w:lvlText w:val="%6"/>
      <w:lvlJc w:val="left"/>
      <w:pPr>
        <w:ind w:left="357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37063A4A">
      <w:start w:val="1"/>
      <w:numFmt w:val="decimal"/>
      <w:lvlText w:val="%7"/>
      <w:lvlJc w:val="left"/>
      <w:pPr>
        <w:ind w:left="429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8A8EE862">
      <w:start w:val="1"/>
      <w:numFmt w:val="lowerLetter"/>
      <w:lvlText w:val="%8"/>
      <w:lvlJc w:val="left"/>
      <w:pPr>
        <w:ind w:left="501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8BCCAF84">
      <w:start w:val="1"/>
      <w:numFmt w:val="lowerRoman"/>
      <w:lvlText w:val="%9"/>
      <w:lvlJc w:val="left"/>
      <w:pPr>
        <w:ind w:left="573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11C"/>
    <w:rsid w:val="004012D8"/>
    <w:rsid w:val="009E21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23F3EC-3E44-42AB-A643-9EF5EF5E8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358</Words>
  <Characters>2041</Characters>
  <Application>Microsoft Office Word</Application>
  <DocSecurity>0</DocSecurity>
  <Lines>17</Lines>
  <Paragraphs>4</Paragraphs>
  <ScaleCrop>false</ScaleCrop>
  <Company/>
  <LinksUpToDate>false</LinksUpToDate>
  <CharactersWithSpaces>2395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cp:revision>
  <dcterms:created xsi:type="dcterms:W3CDTF">2023-09-25T17:39:00Z</dcterms:created>
  <dcterms:modified xsi:type="dcterms:W3CDTF">2023-09-25T17:39:00Z</dcterms:modified>
</cp:coreProperties>
</file>