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42"/>
          <w:szCs w:val="42"/>
          <w:u w:val="none"/>
          <w:shd w:val="clear" w:fill="FFFFFF"/>
        </w:rPr>
        <w:instrText xml:space="preserve"> HYPERLINK "http://conf.acca.com.cn:8090/pages/viewpage.action?pageId=22846078" </w:instrTex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172B4D"/>
          <w:spacing w:val="0"/>
          <w:sz w:val="42"/>
          <w:szCs w:val="42"/>
          <w:u w:val="none"/>
          <w:shd w:val="clear" w:fill="FFFFFF"/>
        </w:rPr>
        <w:t>系统技术架构说明书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"http://conf.acca.com.cn:8090/pages/viewpage.action?pageId=22846363" </w:instrText>
      </w:r>
      <w:r>
        <w:rPr>
          <w:rFonts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应用架构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"http://conf.acca.com.cn:8090/pages/viewpage.action?pageId=22846087"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开发架构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"http://conf.acca.com.cn:8090/pages/viewpage.action?pageId=22846094"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创建工程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"http://conf.acca.com.cn:8090/pages/viewpage.action?pageId=31592714"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araf-parent介绍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"http://conf.acca.com.cn:8090/pages/viewpage.action?pageId=22846096"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分层架构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"http://conf.acca.com.cn:8090/pages/viewpage.action?pageId=22846450"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RestfulAPI接口命名规范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"http://conf.acca.com.cn:8090/pages/viewpage.action?pageId=22846101"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Security配置与用户profile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"http://conf.acca.com.cn:8090/pages/viewpage.action?pageId=22846103"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数据持久层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"http://conf.acca.com.cn:8090/pages/viewpage.action?pageId=22846108"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国际化配置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"http://conf.acca.com.cn:8090/pages/viewpage.action?pageId=22846111"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异常处理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"http://conf.acca.com.cn:8090/pages/viewpage.action?pageId=22846113"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验证（Validation）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"http://conf.acca.com.cn:8090/pages/viewpage.action?pageId=22846119"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作业与批处理开发框架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"http://conf.acca.com.cn:8090/pages/viewpage.action?pageId=22846121"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异步方法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"http://conf.acca.com.cn:8090/pages/viewpage.action?pageId=22852994"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缓存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"http://conf.acca.com.cn:8090/pages/viewpage.action?pageId=22846117"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日志管理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"http://conf.acca.com.cn:8090/pages/viewpage.action?pageId=22846125"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代码生成器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"http://conf.acca.com.cn:8090/pages/viewpage.action?pageId=22846322"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单元测试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"http://conf.acca.com.cn:8090/pages/viewpage.action?pageId=22846215"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工具类使用规范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"http://conf.acca.com.cn:8090/pages/viewpage.action?pageId=22846303"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接口管理（swagger，eolinker等）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"http://conf.acca.com.cn:8090/pages/viewpage.action?pageId=22847555"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报表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"http://conf.acca.com.cn:8090/pages/viewpage.action?pageId=22849706"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代码质量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"http://conf.acca.com.cn:8090/pages/viewpage.action?pageId=31600903"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典型场景开发样例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"http://conf.acca.com.cn:8090/pages/viewpage.action?pageId=33502928"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消息模板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"http://conf.acca.com.cn:8090/pages/viewpage.action?pageId=22849070"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微服务架构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"http://conf.acca.com.cn:8090/pages/viewpage.action?pageId=22846217"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服务注册与服务发现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"http://conf.acca.com.cn:8090/pages/viewpage.action?pageId=22846137"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系统间服务调用与监控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"http://conf.acca.com.cn:8090/pages/viewpage.action?pageId=22846153"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分布式配置管理中心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"http://conf.acca.com.cn:8090/pages/viewpage.action?pageId=22849076"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Gateway服务器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"http://conf.acca.com.cn:8090/pages/viewpage.action?pageId=22849074"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监控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"http://conf.acca.com.cn:8090/pages/viewpage.action?pageId=22849284"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单点登录设计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"http://conf.acca.com.cn:8090/pages/viewpage.action?pageId=33500835"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对外网关服务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"http://conf.acca.com.cn:8090/pages/viewpage.action?pageId=22846091"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系统设计规范与原则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"http://conf.acca.com.cn:8090/pages/viewpage.action?pageId=22846133"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Redis使用场景与注意事项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"http://conf.acca.com.cn:8090/pages/viewpage.action?pageId=22846142"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系统间发布订阅设计原则与kafka使用规范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"http://conf.acca.com.cn:8090/pages/viewpage.action?pageId=22846139"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分布式事务解决方案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"http://conf.acca.com.cn:8090/pages/viewpage.action?pageId=22846135"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批处理作业设计规范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"http://conf.acca.com.cn:8090/pages/viewpage.action?pageId=22846145"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微服务调用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"http://conf.acca.com.cn:8090/pages/viewpage.action?pageId=22846155"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Sharding（分库分表与读写分离）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"http://conf.acca.com.cn:8090/pages/viewpage.action?pageId=22846193"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数据接入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"http://conf.acca.com.cn:8090/pages/viewpage.action?pageId=22846293"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elasticsearch使用规范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"http://conf.acca.com.cn:8090/pages/viewpage.action?pageId=22846344"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消息服务（邮件，短信，站内等）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"http://conf.acca.com.cn:8090/pages/viewpage.action?pageId=22846649"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作业管理与监控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"http://conf.acca.com.cn:8090/pages/viewpage.action?pageId=26414932"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文件管理技术方案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"http://conf.acca.com.cn:8090/pages/viewpage.action?pageId=30603089"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前端文件手工导入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"http://conf.acca.com.cn:8090/pages/viewpage.action?pageId=26416911"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工作流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"http://conf.acca.com.cn:8090/pages/viewpage.action?pageId=37881856"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Flowable本地部署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"http://conf.acca.com.cn:8090/pages/viewpage.action?pageId=26434959"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数据审计与数据权限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"http://conf.acca.com.cn:8090/display/NewGenPMSpace/Elasticsearch"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Elasticsearch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"http://conf.acca.com.cn:8090/pages/viewpage.action?pageId=37894735"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预警设计与维护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"http://conf.acca.com.cn:8090/pages/viewpage.action?pageId=37897174"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灰度发布与权重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"http://conf.acca.com.cn:8090/pages/viewpage.action?pageId=40662730"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手动上传触发作业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"http://conf.acca.com.cn:8090/pages/viewpage.action?pageId=42944386"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Phoenix操作Hbase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"http://conf.acca.com.cn:8090/pages/viewpage.action?pageId=22846123"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部署与测试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"http://conf.acca.com.cn:8090/pages/viewpage.action?pageId=22846324"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接口测试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"http://conf.acca.com.cn:8090/pages/viewpage.action?pageId=31613129"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数据库版本管理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"http://conf.acca.com.cn:8090/pages/viewpage.action?pageId=26436089"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测试环境与UAT环境发布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"http://conf.acca.com.cn:8090/pages/viewpage.action?pageId=22846089"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非功能需求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"http://conf.acca.com.cn:8090/pages/viewpage.action?pageId=22846171"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关键技术指标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"http://conf.acca.com.cn:8090/pages/viewpage.action?pageId=22846159"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安全性需求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"http://conf.acca.com.cn:8090/pages/viewpage.action?pageId=22846168"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系统可扩展性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"http://conf.acca.com.cn:8090/pages/viewpage.action?pageId=22846163"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系统可用性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"http://conf.acca.com.cn:8090/pages/viewpage.action?pageId=22846166"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系统可维护性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"http://conf.acca.com.cn:8090/pages/viewpage.action?pageId=22846307"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系统监控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"http://conf.acca.com.cn:8090/display/NewGenPMSpace/DevOps"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DevOps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"http://conf.acca.com.cn:8090/pages/viewpage.action?pageId=35526827"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容器平台问题收集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"http://conf.acca.com.cn:8090/pages/viewpage.action?pageId=26414114"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技术堆栈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F4C6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"http://conf.acca.com.cn:8090/pages/viewpage.action?pageId=22846078"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/>
    <w:p/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A7B27"/>
    <w:multiLevelType w:val="multilevel"/>
    <w:tmpl w:val="AFDA7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54C9"/>
    <w:rsid w:val="2AA2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2021-02-18T11:06:19Z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