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30"/>
          <w:szCs w:val="30"/>
        </w:rPr>
        <w:t>RubricTrace: A Teacher-in-the-Loop Framework for Evidence-Guided Grading of Scanned Answer Scripts</w:t>
      </w:r>
    </w:p>
    <w:p>
      <w:pPr>
        <w:pStyle w:val="Normal"/>
        <w:spacing w:before="200" w:after="20"/>
        <w:jc w:val="center"/>
        <w:rPr/>
      </w:pPr>
      <w:r>
        <w:rPr>
          <w:rFonts w:eastAsia="Times New Roman" w:cs="Times New Roman"/>
          <w:sz w:val="22"/>
          <w:szCs w:val="22"/>
        </w:rPr>
        <w:t>Pandharinath Maske</w:t>
      </w:r>
    </w:p>
    <w:p>
      <w:pPr>
        <w:pStyle w:val="Normal"/>
        <w:spacing w:before="0" w:after="0"/>
        <w:jc w:val="center"/>
        <w:rPr/>
      </w:pPr>
      <w:r>
        <w:rPr>
          <w:rFonts w:eastAsia="Times New Roman" w:cs="Times New Roman"/>
          <w:sz w:val="18"/>
          <w:szCs w:val="18"/>
        </w:rPr>
        <w:t>Department of CSE – Artificial Intelligence</w:t>
      </w:r>
    </w:p>
    <w:p>
      <w:pPr>
        <w:pStyle w:val="Normal"/>
        <w:spacing w:before="0" w:after="0"/>
        <w:jc w:val="center"/>
        <w:rPr/>
      </w:pPr>
      <w:r>
        <w:rPr>
          <w:rFonts w:eastAsia="Times New Roman" w:cs="Times New Roman"/>
          <w:sz w:val="18"/>
          <w:szCs w:val="18"/>
        </w:rPr>
        <w:t>Vishwakarma Institute of Information Technology, Pune, India</w:t>
      </w:r>
    </w:p>
    <w:p>
      <w:pPr>
        <w:pStyle w:val="Normal"/>
        <w:spacing w:before="0" w:after="240"/>
        <w:jc w:val="center"/>
        <w:rPr/>
      </w:pPr>
      <w:r>
        <w:rPr>
          <w:rFonts w:eastAsia="Times New Roman" w:cs="Times New Roman"/>
          <w:sz w:val="18"/>
          <w:szCs w:val="18"/>
        </w:rPr>
        <w:t>pandharinath.22310246@viit.ac.in</w:t>
      </w:r>
    </w:p>
    <w:p>
      <w:pPr>
        <w:pStyle w:val="Normal"/>
        <w:spacing w:lineRule="exact" w:line="240" w:before="0" w:after="160"/>
        <w:ind w:left="560" w:right="560"/>
        <w:jc w:val="both"/>
        <w:rPr/>
      </w:pPr>
      <w:r>
        <w:rPr>
          <w:rFonts w:eastAsia="Times New Roman" w:cs="Times New Roman"/>
          <w:b/>
          <w:bCs/>
          <w:i/>
          <w:iCs/>
          <w:sz w:val="18"/>
          <w:szCs w:val="18"/>
        </w:rPr>
        <w:t>Abstract—</w:t>
      </w:r>
      <w:r>
        <w:rPr>
          <w:rFonts w:eastAsia="Times New Roman" w:cs="Times New Roman"/>
          <w:i/>
          <w:iCs/>
          <w:sz w:val="18"/>
          <w:szCs w:val="18"/>
        </w:rPr>
        <w:t xml:space="preserve">Automated grading of open-ended exam answers with large language models (LLMs) can diverge from human graders in systematic, hard-to-detect ways. We present RubricTrace, a teacher-in-the-loop framework that grades scanned student scripts against teacher-authored, criterion-based rubrics, flags marks whose confidence falls below a teacher-set threshold for review, and grounds every open-ended mark in quoted evidence from the student’s answer. In a case study on a 15-question short-answer section (Mendeley digitized-exam dataset, 567 manual-marked records), the LLM grader under-scored students on every question despite an explicit grade-by-meaning instruction, applying rubric criteria literally while human graders credited differently-worded correct answers (per-question MAE up to 1.16 on a 2-point scale). Rewriting the rubric criteria to enumerate accepted paraphrases and add an explicit half-point tier, with questions, point totals and model unchanged, reduced MAE from 0.726 to 0.578 (−20.4%, in-sample) and bias magnitude by 28.2%, raised Quadratic Weighted Kappa from 0.367 to 0.480, and increased half-point mark usage from 1.2% to 21.0%. On the exam’s objective (MCQ / true-false) section, an LLM answer matcher reaches near-ceiling agreement (97.5% exact match, QWK = 0.949, n = 1000), but the needs-review flag shows the same low recall on both sections, flagging only 1 of 25 misgraded objective records. We argue that rubric-criterion wording is a first-class lever for calibrating LLM graders.</w:t>
      </w:r>
    </w:p>
    <w:p>
      <w:pPr>
        <w:pStyle w:val="Normal"/>
        <w:spacing w:lineRule="exact" w:line="240" w:before="0" w:after="260"/>
        <w:ind w:left="560" w:right="560"/>
        <w:jc w:val="both"/>
        <w:rPr/>
      </w:pPr>
      <w:r>
        <w:rPr>
          <w:rFonts w:eastAsia="Times New Roman" w:cs="Times New Roman"/>
          <w:b/>
          <w:bCs/>
          <w:i/>
          <w:iCs/>
          <w:sz w:val="18"/>
          <w:szCs w:val="18"/>
        </w:rPr>
        <w:t>Index Terms—</w:t>
      </w:r>
      <w:r>
        <w:rPr>
          <w:rFonts w:eastAsia="Times New Roman" w:cs="Times New Roman"/>
          <w:i/>
          <w:iCs/>
          <w:sz w:val="18"/>
          <w:szCs w:val="18"/>
        </w:rPr>
        <w:t>automated grading, LLM-as-judge, rubric design, criterion-based assessment, teacher-in-the-loop, evidence-guided grading, multiple-choice grading, educational assessment, grading calibration, human–AI agreement</w:t>
      </w:r>
    </w:p>
    <w:p>
      <w:pPr>
        <w:sectPr>
          <w:type w:val="nextPage"/>
          <w:pgSz w:w="12240" w:h="15840"/>
          <w:pgMar w:left="830" w:right="830" w:gutter="0" w:header="0" w:top="1080" w:footer="0" w:bottom="800"/>
          <w:pgNumType w:fmt="decimal"/>
          <w:formProt w:val="false"/>
          <w:textDirection w:val="lrTb"/>
          <w:docGrid w:type="default" w:linePitch="360" w:charSpace="8192"/>
        </w:sectPr>
      </w:pPr>
    </w:p>
    <w:p>
      <w:pPr>
        <w:pStyle w:val="Normal"/>
        <w:spacing w:before="260" w:after="140"/>
        <w:jc w:val="center"/>
        <w:rPr/>
      </w:pPr>
      <w:r>
        <w:rPr>
          <w:rFonts w:eastAsia="Times New Roman" w:cs="Times New Roman"/>
          <w:b/>
          <w:bCs/>
          <w:smallCaps/>
          <w:sz w:val="20"/>
          <w:szCs w:val="20"/>
        </w:rPr>
        <w:t>I. Introduction</w:t>
      </w:r>
    </w:p>
    <w:p>
      <w:pPr>
        <w:pStyle w:val="Normal"/>
        <w:spacing w:lineRule="exact" w:line="252" w:before="0" w:after="0"/>
        <w:ind w:firstLine="260"/>
        <w:jc w:val="both"/>
        <w:rPr/>
      </w:pPr>
      <w:r>
        <w:rPr>
          <w:rFonts w:eastAsia="Times New Roman" w:cs="Times New Roman"/>
          <w:sz w:val="20"/>
          <w:szCs w:val="20"/>
        </w:rPr>
        <w:t>Grading descriptive, free-text answers is one of the most time-consuming parts of assessing student work, and one of the hardest to automate: unlike multiple-choice questions, short-answer responses must be judged for conceptual correctness under wide variation in wording, completeness, and phrasing. Large language models (LLMs) have recently been proposed as “judges” for exactly this kind of open-ended evaluation task, offering the prospect of partial credit, human-readable justifications, and confidence estimates at a fraction of the cost of manual grading [1], [2].</w:t>
      </w:r>
    </w:p>
    <w:p>
      <w:pPr>
        <w:pStyle w:val="Normal"/>
        <w:spacing w:lineRule="exact" w:line="252" w:before="0" w:after="0"/>
        <w:ind w:firstLine="260"/>
        <w:jc w:val="both"/>
        <w:rPr/>
      </w:pPr>
      <w:r>
        <w:rPr>
          <w:rFonts w:eastAsia="Times New Roman" w:cs="Times New Roman"/>
          <w:sz w:val="20"/>
          <w:szCs w:val="20"/>
        </w:rPr>
        <w:t xml:space="preserve">A well-designed LLM grading system can look robust on paper: an explicit system prompt instructing the model to grade by meaning rather than keyword matching, a structured rubric with per-criterion point values, and machine-readable confidence scores and needs-review flags for human oversight. Yet such a system can still diverge from human graders systematically, in a way that is invisible unless scores are compared against manual grades per question rather than only in aggregate.</w:t>
      </w:r>
    </w:p>
    <w:p>
      <w:pPr>
        <w:pStyle w:val="Normal"/>
        <w:spacing w:lineRule="exact" w:line="252" w:before="0" w:after="0"/>
        <w:ind w:firstLine="260"/>
        <w:jc w:val="both"/>
        <w:rPr/>
      </w:pPr>
      <w:r>
        <w:rPr>
          <w:rFonts w:eastAsia="Times New Roman" w:cs="Times New Roman"/>
          <w:sz w:val="20"/>
          <w:szCs w:val="20"/>
        </w:rPr>
        <w:t xml:space="preserve">This paper reports such a case, discovered while building and evaluating RubricTrace, a teacher-in-the-loop framework for grading scanned student answer scripts against criterion-based rubrics. RubricTrace rests on two design commitments. It treats the teacher, not the model, as the final authority: every grade carries a confidence score and a needs-review flag, and any grade below a teacher-set confidence threshold is routed to the teacher (teacher-in-the-loop). It also requires every awarded open-ended mark to be traceable to a quoted evidence span from the student’s own answer (evidence-guided). Its rubric schema places no constraint on a question’s point value or number of parts: a criterion is a free-text description paired with a point allocation. The 15-question short-answer section used here happens to use fixed 2-mark questions; the schema’s generality beyond that is argued structurally and not yet tested (Section VIII). Graded by an LLM (openai/gpt-oss-20b, hosted via NVIDIA NIM/Groq), this section showed a negative scoring bias on every question, independent of topic, with mean absolute error (MAE) up to 1.16 points on a 2-point scale. Inspection of the highest-disagreement cases showed the grader behaving exactly as instructed by its own reasoning trace: verifying whether a required term appeared in the answer and awarding zero when it did not, even when a human grader judged the answer conceptually correct. A complete re-grading under a rewritten rubric is consistent with this diagnosis, with no change to the model or grading prompt. In parallel, we evaluate the objective (multiple-choice / true-false) section under the same framework: it reaches near-ceiling agreement but exposes the same weakness in the needs-review flag.</w:t>
      </w:r>
    </w:p>
    <w:p>
      <w:pPr>
        <w:pStyle w:val="Normal"/>
        <w:spacing w:lineRule="exact" w:line="252" w:before="0" w:after="0"/>
        <w:ind w:firstLine="260"/>
        <w:jc w:val="both"/>
        <w:rPr/>
      </w:pPr>
      <w:r>
        <w:rPr>
          <w:rFonts w:eastAsia="Times New Roman" w:cs="Times New Roman"/>
          <w:sz w:val="20"/>
          <w:szCs w:val="20"/>
        </w:rPr>
        <w:t>Our contributions are:</w:t>
      </w:r>
    </w:p>
    <w:p>
      <w:pPr>
        <w:pStyle w:val="Normal"/>
        <w:spacing w:lineRule="exact" w:line="252" w:before="0" w:after="0"/>
        <w:ind w:hanging="0" w:left="260"/>
        <w:jc w:val="both"/>
        <w:rPr/>
      </w:pPr>
      <w:r>
        <w:rPr>
          <w:rFonts w:eastAsia="Times New Roman" w:cs="Times New Roman"/>
          <w:sz w:val="20"/>
          <w:szCs w:val="20"/>
        </w:rPr>
        <w:t xml:space="preserve">1) An empirical measurement of LLM-grader vs. human-grader disagreement across 15 short-answer questions on a real digitized exam dataset (Section IV).</w:t>
      </w:r>
    </w:p>
    <w:p>
      <w:pPr>
        <w:pStyle w:val="Normal"/>
        <w:spacing w:lineRule="exact" w:line="252" w:before="0" w:after="0"/>
        <w:ind w:hanging="0" w:left="260"/>
        <w:jc w:val="both"/>
        <w:rPr/>
      </w:pPr>
      <w:r>
        <w:rPr>
          <w:rFonts w:eastAsia="Times New Roman" w:cs="Times New Roman"/>
          <w:sz w:val="20"/>
          <w:szCs w:val="20"/>
        </w:rPr>
        <w:t xml:space="preserve">2) A diagnosis of the cause: rubric-criterion text acting as an implicit literal-keyword checklist that overrides “grade by meaning” prompt instructions, compounded by criteria that define no rule for partial credit (Section IV).</w:t>
      </w:r>
    </w:p>
    <w:p>
      <w:pPr>
        <w:pStyle w:val="Normal"/>
        <w:spacing w:lineRule="exact" w:line="252" w:before="0" w:after="0"/>
        <w:ind w:hanging="0" w:left="260"/>
        <w:jc w:val="both"/>
        <w:rPr/>
      </w:pPr>
      <w:r>
        <w:rPr>
          <w:rFonts w:eastAsia="Times New Roman" w:cs="Times New Roman"/>
          <w:sz w:val="20"/>
          <w:szCs w:val="20"/>
        </w:rPr>
        <w:t xml:space="preserve">3) A minimal intervention, rewriting rubric criterion text only, and a measurement of its effect on MAE, bias, and score granularity (Sections V and VI-A).</w:t>
      </w:r>
    </w:p>
    <w:p>
      <w:pPr>
        <w:pStyle w:val="Normal"/>
        <w:spacing w:lineRule="exact" w:line="252" w:before="0" w:after="0"/>
        <w:ind w:hanging="0" w:left="260"/>
        <w:jc w:val="both"/>
        <w:rPr/>
      </w:pPr>
      <w:r>
        <w:rPr>
          <w:rFonts w:eastAsia="Times New Roman" w:cs="Times New Roman"/>
          <w:sz w:val="20"/>
          <w:szCs w:val="20"/>
        </w:rPr>
        <w:t xml:space="preserve">4) A discussion of implications for deploying “grade by meaning” LLM graders: rubric criteria are effectively part of the prompt and warrant the same scrutiny (Section VII).</w:t>
      </w:r>
    </w:p>
    <w:p>
      <w:pPr>
        <w:pStyle w:val="Normal"/>
        <w:spacing w:lineRule="exact" w:line="252" w:before="0" w:after="0"/>
        <w:ind w:hanging="0" w:left="260"/>
        <w:jc w:val="both"/>
        <w:rPr/>
      </w:pPr>
      <w:r>
        <w:rPr>
          <w:rFonts w:eastAsia="Times New Roman" w:cs="Times New Roman"/>
          <w:sz w:val="20"/>
          <w:szCs w:val="20"/>
        </w:rPr>
        <w:t xml:space="preserve">5) A parallel evaluation of the objective track (Section VI-B), showing near-ceiling agreement but the same low-recall needs-review flag, so the flag’s weakness is not specific to open-ended grading or a single model (Section VII).</w:t>
      </w:r>
    </w:p>
    <w:p>
      <w:pPr>
        <w:pStyle w:val="Normal"/>
        <w:spacing w:before="260" w:after="140"/>
        <w:jc w:val="center"/>
        <w:rPr/>
      </w:pPr>
      <w:r>
        <w:rPr>
          <w:rFonts w:eastAsia="Times New Roman" w:cs="Times New Roman"/>
          <w:b/>
          <w:bCs/>
          <w:smallCaps/>
          <w:sz w:val="20"/>
          <w:szCs w:val="20"/>
        </w:rPr>
        <w:t>II. Related Work</w:t>
      </w:r>
    </w:p>
    <w:p>
      <w:pPr>
        <w:pStyle w:val="Normal"/>
        <w:spacing w:lineRule="exact" w:line="252" w:before="0" w:after="0"/>
        <w:ind w:firstLine="260"/>
        <w:jc w:val="both"/>
        <w:rPr/>
      </w:pPr>
      <w:r>
        <w:rPr>
          <w:rFonts w:eastAsia="Times New Roman" w:cs="Times New Roman"/>
          <w:sz w:val="20"/>
          <w:szCs w:val="20"/>
        </w:rPr>
        <w:t>LLM-as-judge. Using LLMs as automatic evaluators of open-ended text has gained rapid traction following work such as Zheng et al. [1], who showed strong LLM judges can reach high agreement with human preference judgments on conversational benchmarks, while also documenting systematic judge biases (e.g. a preference for longer responses). Subsequent surveys [2], [3] catalogue the growing methodology around LLM evaluators across functionality, application domain, and known failure modes, and more recent empirical work has documented further biases affecting both LLM and human judges [4].</w:t>
      </w:r>
    </w:p>
    <w:p>
      <w:pPr>
        <w:pStyle w:val="Normal"/>
        <w:spacing w:lineRule="exact" w:line="252" w:before="0" w:after="0"/>
        <w:ind w:firstLine="260"/>
        <w:jc w:val="both"/>
        <w:rPr/>
      </w:pPr>
      <w:r>
        <w:rPr>
          <w:rFonts w:eastAsia="Times New Roman" w:cs="Times New Roman"/>
          <w:sz w:val="20"/>
          <w:szCs w:val="20"/>
        </w:rPr>
        <w:t xml:space="preserve">Automated short-answer grading (ASAG). ASAG predates LLMs by decades; Burrows et al. [5] survey its evolution from hand-crafted pattern-matching systems toward statistical and neural approaches, noting that literal keyword- or pattern-based scoring has historically produced false negatives on paraphrased but correct answers, the same failure mode we observe re-emerging in an LLM grader whose rubric criteria are keyword-shaped. Deep-learning-era surveys [6] emphasize semantic similarity as a corrective to literal matching. Earlier feature-based systems such as Mohler et al. [7] and the SemEval-2013 student response analysis challenge [8] framed grading as comparing a student answer against a reference. More recent work applies LLMs directly, including rubric-conditioned scoring [9] and LLM-based autograding of short textual answers [10], generally reporting promising but imperfect agreement with human grades; further work evaluates GPT-4 on short-answer grading [11] and in undergraduate medical education [12]. Closest to our setting are studies of GPT-4-based grading of handwritten work: Kortemeyer [13] reported an R² of 0.84 against human graders on a synthetic dataset of handwritten physics derivations while recommending that such a workflow assist rather than replace human graders, and Kortemeyer et al. [14] found in a handwritten thermodynamics exam that converting handwriting to machine-readable text was the greatest challenge. The present paper is a detailed case study of one calibration failure of this kind and its fix, extended to a second, objective question type.</w:t>
      </w:r>
    </w:p>
    <w:p>
      <w:pPr>
        <w:pStyle w:val="Normal"/>
        <w:spacing w:lineRule="exact" w:line="252" w:before="0" w:after="0"/>
        <w:ind w:firstLine="260"/>
        <w:jc w:val="both"/>
        <w:rPr/>
      </w:pPr>
      <w:r>
        <w:rPr>
          <w:rFonts w:eastAsia="Times New Roman" w:cs="Times New Roman"/>
          <w:sz w:val="20"/>
          <w:szCs w:val="20"/>
        </w:rPr>
        <w:t xml:space="preserve">Rubric-conditioned LLM evaluators. General-purpose evaluators increasingly condition on explicit criteria. G-Eval [15] prompts GPT-4 with chain-of-thought and a form-filling paradigm, Prometheus [16] trains an open evaluator that takes a reference answer and a customized rubric as input, and Prometheus 2 [17] extends this line, the same reference-plus-rubric structure that RubricTrace’s grader receives. Chiang and Lee [18] report that LLM ratings are consistent with expert human ratings, though on story-generation and adversarial-attack tasks rather than student answers. Rather than proposing a new evaluator, we study how the wording of individual rubric criteria shifts an existing grader’s bias against human marks.</w:t>
      </w:r>
    </w:p>
    <w:p>
      <w:pPr>
        <w:pStyle w:val="Normal"/>
        <w:spacing w:lineRule="exact" w:line="252" w:before="0" w:after="0"/>
        <w:ind w:firstLine="260"/>
        <w:jc w:val="both"/>
        <w:rPr/>
      </w:pPr>
      <w:r>
        <w:rPr>
          <w:rFonts w:eastAsia="Times New Roman" w:cs="Times New Roman"/>
          <w:sz w:val="20"/>
          <w:szCs w:val="20"/>
        </w:rPr>
        <w:t xml:space="preserve">Confidence estimation and review routing. RubricTrace routes a mark to the teacher when the grader’s confidence falls below a threshold, so its usefulness depends on whether verbalized confidence separates correct from incorrect grades. Guo et al. [19] showed that modern neural networks are often poorly calibrated, and Kadavath et al. [20] found that larger language models can be well-calibrated on multiple-choice and true/false questions. Tian et al. [21] found verbalized confidences from RLHF-tuned models often better calibrated than token probabilities, whereas Xiong et al. [22] found that LLMs verbalizing confidence tend to be overconfident and that sampling several responses and measuring their consistency improves failure prediction, an idea related to self-consistency decoding [23]. These findings motivate our planned use of disagreement among multiple grader responses and are consistent with the low flag recall we observe (Sections VI and VII).</w:t>
      </w:r>
    </w:p>
    <w:p>
      <w:pPr>
        <w:pStyle w:val="Normal"/>
        <w:spacing w:before="260" w:after="140"/>
        <w:jc w:val="center"/>
        <w:rPr/>
      </w:pPr>
      <w:r>
        <w:rPr>
          <w:rFonts w:eastAsia="Times New Roman" w:cs="Times New Roman"/>
          <w:b/>
          <w:bCs/>
          <w:smallCaps/>
          <w:sz w:val="20"/>
          <w:szCs w:val="20"/>
        </w:rPr>
        <w:t>III. System: RubricTrace</w:t>
      </w:r>
    </w:p>
    <w:p>
      <w:pPr>
        <w:pStyle w:val="Normal"/>
        <w:spacing w:before="180" w:after="80"/>
        <w:ind w:hanging="0"/>
        <w:jc w:val="left"/>
        <w:rPr/>
      </w:pPr>
      <w:r>
        <w:rPr>
          <w:rFonts w:eastAsia="Times New Roman" w:cs="Times New Roman"/>
          <w:i/>
          <w:iCs/>
          <w:sz w:val="20"/>
          <w:szCs w:val="20"/>
        </w:rPr>
        <w:t>A. Pipeline Overview</w:t>
      </w:r>
    </w:p>
    <w:p>
      <w:pPr>
        <w:pStyle w:val="Normal"/>
        <w:spacing w:lineRule="exact" w:line="252" w:before="0" w:after="0"/>
        <w:ind w:firstLine="260"/>
        <w:jc w:val="both"/>
        <w:rPr/>
      </w:pPr>
      <w:r>
        <w:rPr>
          <w:rFonts w:eastAsia="Times New Roman" w:cs="Times New Roman"/>
          <w:sz w:val="20"/>
          <w:szCs w:val="20"/>
        </w:rPr>
        <w:t xml:space="preserve">RubricTrace separates answer extraction from answer grading (Fig. 1). Digitized (scanned/handwritten) student exam PDFs are first processed by an OCR/VLM extraction stage that produces a per-student, per-question text transcription, independent of any grading logic. Grading then proceeds along two tracks: a lean, LLM-based matching pipeline for objective multiple-choice / true-false questions (correct-or-incorrect, no partial credit, run on a small local model), and a full-reasoning pipeline for open-ended, rubric-graded questions of any point value or part count. The grading logic operates on whatever criteria a question’s rubric declares (Section III-D), so the same code path grades a 2-mark item and is designed to grade a 10-mark multi-part question (not yet tested; Section VIII). This paper’s dataset places its entire open-ended section on 2-mark questions, so all rubric-rewrite results (Sections IV–VI-A) exercise this track in its short-answer configuration. The open-ended grader calls a cloud-hosted LLM (openai/gpt-oss-20b [24] via NVIDIA NIM, with automatic failover to Groq) and returns, per record: awarded marks, a confidence score, a needs-review flag, a reasoning trace, evidence spans from the student’s answer, and a per-criterion satisfied/partial/failed breakdown. The confidence score and needs-review flag realize teacher-in-the-loop grading, and the evidence spans realize evidence-guided grading: a mark is only as trustworthy as the quoted text a teacher can check it against.</w:t>
      </w:r>
    </w:p>
    <w:p>
      <w:pPr>
        <w:sectPr>
          <w:type w:val="continuous"/>
          <w:pgSz w:w="12240" w:h="15840"/>
          <w:pgMar w:left="830" w:right="830" w:gutter="0" w:header="0" w:top="1080" w:footer="0" w:bottom="800"/>
          <w:cols w:num="2" w:space="260" w:equalWidth="true" w:sep="false"/>
          <w:formProt w:val="false"/>
          <w:textDirection w:val="lrTb"/>
          <w:docGrid w:type="default" w:linePitch="360" w:charSpace="8192"/>
        </w:sectPr>
      </w:pPr>
    </w:p>
    <w:p>
      <w:pPr>
        <w:pStyle w:val="Normal"/>
        <w:spacing w:before="120" w:after="0"/>
        <w:jc w:val="center"/>
        <w:rPr/>
      </w:pPr>
      <w:r>
        <w:rPr/>
        <w:drawing>
          <wp:inline distT="0" distB="0" distL="0" distR="0">
            <wp:extent cx="6286500" cy="23431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286500" cy="2343150"/>
                    </a:xfrm>
                    <a:prstGeom prst="rect">
                      <a:avLst/>
                    </a:prstGeom>
                  </pic:spPr>
                </pic:pic>
              </a:graphicData>
            </a:graphic>
          </wp:inline>
        </w:drawing>
      </w:r>
    </w:p>
    <w:p>
      <w:pPr>
        <w:pStyle w:val="Normal"/>
        <w:spacing w:before="100" w:after="200"/>
        <w:ind w:hanging="0"/>
        <w:jc w:val="center"/>
        <w:rPr/>
      </w:pPr>
      <w:r>
        <w:rPr>
          <w:rFonts w:eastAsia="Times New Roman" w:cs="Times New Roman"/>
          <w:b w:val="false"/>
          <w:bCs w:val="false"/>
          <w:sz w:val="16"/>
          <w:szCs w:val="16"/>
        </w:rPr>
        <w:t xml:space="preserve">Fig. 1.  </w:t>
      </w:r>
      <w:r>
        <w:rPr>
          <w:rFonts w:eastAsia="Times New Roman" w:cs="Times New Roman"/>
          <w:sz w:val="16"/>
          <w:szCs w:val="16"/>
        </w:rPr>
        <w:t>RubricTrace architecture. (1) Scanned/handwritten scripts, the teacher-authored rubric, and the answer key are the inputs. (2) OCR/VLM extraction and a manifest builder produce a per-student, per-question answer manifest. (3) Grading proceeds on two lanes: Lane A (objective MCQ/true-false, local LLM, no partial credit) and Lane B (open-ended, cloud LLM with failover provider, per-criterion scoring with half-mark snapping), both emitting marks, confidence, a needs-review flag, and reasoning (Lane B additionally emits per-criterion evidence spans). (4) Low-confidence records enter a teacher review interface for confirmation or override; confident records pass through directly. (5) Confirmed marks and agreement statistics (MAE, bias, QWK, Pearson r) form the final output, with a feedback path back to rubric refinement.</w:t>
      </w:r>
    </w:p>
    <w:p>
      <w:pPr>
        <w:sectPr>
          <w:type w:val="continuous"/>
          <w:pgSz w:w="12240" w:h="15840"/>
          <w:pgMar w:left="830" w:right="830" w:gutter="0" w:header="0" w:top="1080" w:footer="0" w:bottom="800"/>
          <w:formProt w:val="false"/>
          <w:textDirection w:val="lrTb"/>
          <w:docGrid w:type="default" w:linePitch="360" w:charSpace="8192"/>
        </w:sectPr>
      </w:pPr>
    </w:p>
    <w:p>
      <w:pPr>
        <w:pStyle w:val="Normal"/>
        <w:spacing w:before="180" w:after="80"/>
        <w:ind w:hanging="0"/>
        <w:jc w:val="left"/>
        <w:rPr/>
      </w:pPr>
      <w:r>
        <w:rPr>
          <w:rFonts w:eastAsia="Times New Roman" w:cs="Times New Roman"/>
          <w:i/>
          <w:iCs/>
          <w:sz w:val="20"/>
          <w:szCs w:val="20"/>
        </w:rPr>
        <w:t>B. Answer Extraction</w:t>
      </w:r>
    </w:p>
    <w:p>
      <w:pPr>
        <w:pStyle w:val="Normal"/>
        <w:spacing w:lineRule="exact" w:line="252" w:before="0" w:after="0"/>
        <w:ind w:firstLine="260"/>
        <w:jc w:val="both"/>
        <w:rPr/>
      </w:pPr>
      <w:r>
        <w:rPr>
          <w:rFonts w:eastAsia="Times New Roman" w:cs="Times New Roman"/>
          <w:sz w:val="20"/>
          <w:szCs w:val="20"/>
        </w:rPr>
        <w:t xml:space="preserve">Digitized scripts are processed page-by-page in two stages, decoupled from all grading logic (Fig. 1). A vision-language model (VLM) first transcribes each page image to plain text; a separate text LLM then structures that transcript into per-question JSON records (question number, answer text, and metadata such as question type). Splitting transcription from structuring keeps each structuring call’s context small and, in our experience, avoids conflating handwriting-recognition errors with structuring errors.</w:t>
      </w:r>
    </w:p>
    <w:p>
      <w:pPr>
        <w:pStyle w:val="Normal"/>
        <w:spacing w:lineRule="exact" w:line="252" w:before="0" w:after="0"/>
        <w:ind w:firstLine="260"/>
        <w:jc w:val="both"/>
        <w:rPr/>
      </w:pPr>
      <w:r>
        <w:rPr>
          <w:rFonts w:eastAsia="Times New Roman" w:cs="Times New Roman"/>
          <w:sz w:val="20"/>
          <w:szCs w:val="20"/>
        </w:rPr>
        <w:t xml:space="preserve">Over the complete 50-student corpus (1,584 extracted per-question answer records spanning the MCQ and short-answer sections), 1,574 records (99.4%) were non-blank. The extraction pipeline’s self-reported confidence label was high for 1,463 records (92.4%), medium for 103 (6.5%), and low for 18 (1.1%). 35 records (2.2%) were flagged as partial, typically where an answer continued onto a following page; 14 such cases required concatenating text from two consecutive page images before grading. No file produced extraction errors severe enough to be excluded.</w:t>
      </w:r>
    </w:p>
    <w:p>
      <w:pPr>
        <w:pStyle w:val="Normal"/>
        <w:spacing w:before="180" w:after="80"/>
        <w:ind w:hanging="0"/>
        <w:jc w:val="left"/>
        <w:rPr/>
      </w:pPr>
      <w:r>
        <w:rPr>
          <w:rFonts w:eastAsia="Times New Roman" w:cs="Times New Roman"/>
          <w:i/>
          <w:iCs/>
          <w:sz w:val="20"/>
          <w:szCs w:val="20"/>
        </w:rPr>
        <w:t>C. Objective (MCQ / True-False) Grading</w:t>
      </w:r>
    </w:p>
    <w:p>
      <w:pPr>
        <w:pStyle w:val="Normal"/>
        <w:spacing w:lineRule="exact" w:line="252" w:before="0" w:after="0"/>
        <w:ind w:firstLine="260"/>
        <w:jc w:val="both"/>
        <w:rPr/>
      </w:pPr>
      <w:r>
        <w:rPr>
          <w:rFonts w:eastAsia="Times New Roman" w:cs="Times New Roman"/>
          <w:sz w:val="20"/>
          <w:szCs w:val="20"/>
        </w:rPr>
        <w:t xml:space="preserve">Multiple-choice and true/false questions are, in principle, gradable by direct comparison against a golden option. In practice, students recorded a chosen option in several written forms for the same question: a bare letter (“D”), the letter followed by the option text (“D (Linear Regression)”), or the option text alone (“Linear Regression”). Extraction alone cannot normalize this without also resolving which concept a letter refers to on that question. RubricTrace therefore grades the objective section with an LLM-based answer matcher rather than literal string comparison: the model is given the question, its options, the golden option, and the extracted answer, and returns a structured verdict (full or no credit) with a confidence score and a short justification. Matching is run on a small local model (qwen2.5:3b [25]), since matching a stated option against a golden option is simpler than open-ended rubric grading.</w:t>
      </w:r>
    </w:p>
    <w:p>
      <w:pPr>
        <w:pStyle w:val="Normal"/>
        <w:spacing w:before="180" w:after="80"/>
        <w:ind w:hanging="0"/>
        <w:jc w:val="left"/>
        <w:rPr/>
      </w:pPr>
      <w:r>
        <w:rPr>
          <w:rFonts w:eastAsia="Times New Roman" w:cs="Times New Roman"/>
          <w:i/>
          <w:iCs/>
          <w:sz w:val="20"/>
          <w:szCs w:val="20"/>
        </w:rPr>
        <w:t>D. Rubric Representation</w:t>
      </w:r>
    </w:p>
    <w:p>
      <w:pPr>
        <w:pStyle w:val="Normal"/>
        <w:spacing w:lineRule="exact" w:line="252" w:before="0" w:after="0"/>
        <w:ind w:firstLine="260"/>
        <w:jc w:val="both"/>
        <w:rPr/>
      </w:pPr>
      <w:r>
        <w:rPr>
          <w:rFonts w:eastAsia="Times New Roman" w:cs="Times New Roman"/>
          <w:sz w:val="20"/>
          <w:szCs w:val="20"/>
        </w:rPr>
        <w:t xml:space="preserve">Each open-ended question in the teacher-authored rubric is decomposed into one or more independent criteria, each carrying its own point value and a free-text description, rather than a single flat list of “expected concepts.” A criterion’s point value is arbitrary and unrelated to the question’s total, and the schema places no constraint on how many criteria a question has. Every short-answer question in this dataset uses exactly two 1-point criteria summing to 2 marks (fourteen questions), except one question with a single 2-point criterion, because that is how this exam was authored. The same schema should decompose a 5-mark, two-part question into criteria worth 2 and 3 points, or a 10-mark essay into four or five criteria, with no change to the grading code (untested; Section VIII). This design replaced an earlier, automatically derived expected-concepts representation that could not distinguish “all of these are required” from “pick any N of these examples,” which the grader would literalize into all-or-nothing scoring on list-style questions.</w:t>
      </w:r>
    </w:p>
    <w:p>
      <w:pPr>
        <w:pStyle w:val="Normal"/>
        <w:spacing w:lineRule="exact" w:line="252" w:before="0" w:after="0"/>
        <w:ind w:firstLine="260"/>
        <w:jc w:val="both"/>
        <w:rPr/>
      </w:pPr>
      <w:r>
        <w:rPr>
          <w:rFonts w:eastAsia="Times New Roman" w:cs="Times New Roman"/>
          <w:sz w:val="20"/>
          <w:szCs w:val="20"/>
        </w:rPr>
        <w:t>The grading system prompt explicitly instructs the model to grade by meaning rather than keyword search, to credit equivalent phrasing, to award proportional partial credit when a criterion bundles multiple sub-concepts, and enumerates a range of edge cases (blank answers, garbled OCR transcription, answers addressing a different question, missing golden answers, etc.). Awarded marks are additionally constrained to a discrete half-mark scale {0, 0.5, 1, 1.5, 2} via an explicit prompt instruction, with a code-level snap-to-nearest-half-mark safety net applied to whatever the model returns.</w:t>
      </w:r>
    </w:p>
    <w:p>
      <w:pPr>
        <w:pStyle w:val="Normal"/>
        <w:spacing w:before="180" w:after="80"/>
        <w:ind w:hanging="0"/>
        <w:jc w:val="left"/>
        <w:rPr/>
      </w:pPr>
      <w:r>
        <w:rPr>
          <w:rFonts w:eastAsia="Times New Roman" w:cs="Times New Roman"/>
          <w:i/>
          <w:iCs/>
          <w:sz w:val="20"/>
          <w:szCs w:val="20"/>
        </w:rPr>
        <w:t>E. Dataset</w:t>
      </w:r>
    </w:p>
    <w:p>
      <w:pPr>
        <w:pStyle w:val="Normal"/>
        <w:spacing w:lineRule="exact" w:line="252" w:before="0" w:after="0"/>
        <w:ind w:firstLine="260"/>
        <w:jc w:val="both"/>
        <w:rPr/>
      </w:pPr>
      <w:r>
        <w:rPr>
          <w:rFonts w:eastAsia="Times New Roman" w:cs="Times New Roman"/>
          <w:sz w:val="20"/>
          <w:szCs w:val="20"/>
        </w:rPr>
        <w:t xml:space="preserve">We use the Mendeley Data student-examination dataset [26]: a 35-question Data Science examination (20 multiple-choice, 15 short-answer at 2 marks each) across 50 students, with teacher-assigned manual marks available for all 1,000 objective responses but only 567 of the 750 short-answer responses. The remaining short-answer records are unattempted (blank extracted answer) and left unmarked by the dataset; RubricTrace grades them 0, but they are excluded from agreement statistics because no manual mark exists (all 1,750 records were graded). Sections IV–VI-A concern the 15-question open-ended section; Section VI-B covers the 20-question objective section.</w:t>
      </w:r>
    </w:p>
    <w:p>
      <w:pPr>
        <w:pStyle w:val="Normal"/>
        <w:spacing w:before="180" w:after="80"/>
        <w:ind w:hanging="0"/>
        <w:jc w:val="left"/>
        <w:rPr/>
      </w:pPr>
      <w:r>
        <w:rPr>
          <w:rFonts w:eastAsia="Times New Roman" w:cs="Times New Roman"/>
          <w:i/>
          <w:iCs/>
          <w:sz w:val="20"/>
          <w:szCs w:val="20"/>
        </w:rPr>
        <w:t>F. Teacher Workflow and Review Threshold</w:t>
      </w:r>
    </w:p>
    <w:p>
      <w:pPr>
        <w:pStyle w:val="Normal"/>
        <w:spacing w:lineRule="exact" w:line="252" w:before="0" w:after="0"/>
        <w:ind w:firstLine="260"/>
        <w:jc w:val="both"/>
        <w:rPr/>
      </w:pPr>
      <w:r>
        <w:rPr>
          <w:rFonts w:eastAsia="Times New Roman" w:cs="Times New Roman"/>
          <w:sz w:val="20"/>
          <w:szCs w:val="20"/>
        </w:rPr>
        <w:t xml:space="preserve">In deployment the teacher authors the exam: for each question the teacher supplies the question text and a golden answer and, for open-ended questions, a rubric that splits the question’s marks across criteria. The teacher also sets a review-confidence threshold. A record whose confidence falls below the threshold, or that the grader cannot score reliably (e.g. a blank or unreadable extraction), is marked needs_review and placed in a queue where the teacher grades the answer directly and overrides the model’s mark. In all experiments here the threshold was the default 0.65 on both tracks (and in both the pre- and post-rewrite runs). The review interface is implemented but not evaluated: the agreement statistics are those of the automated grader alone, before any teacher override, and the flag is evaluated as a routing signal in Sections VI-A and VI-B.</w:t>
      </w:r>
    </w:p>
    <w:p>
      <w:pPr>
        <w:pStyle w:val="Normal"/>
        <w:spacing w:before="260" w:after="140"/>
        <w:jc w:val="center"/>
        <w:rPr/>
      </w:pPr>
      <w:r>
        <w:rPr>
          <w:rFonts w:eastAsia="Times New Roman" w:cs="Times New Roman"/>
          <w:b/>
          <w:bCs/>
          <w:smallCaps/>
          <w:sz w:val="20"/>
          <w:szCs w:val="20"/>
        </w:rPr>
        <w:t>IV. The Problem: Systematic Negative Bias in Short-Answer Grading</w:t>
      </w:r>
    </w:p>
    <w:p>
      <w:pPr>
        <w:pStyle w:val="Normal"/>
        <w:spacing w:before="180" w:after="80"/>
        <w:ind w:hanging="0"/>
        <w:jc w:val="left"/>
        <w:rPr/>
      </w:pPr>
      <w:r>
        <w:rPr>
          <w:rFonts w:eastAsia="Times New Roman" w:cs="Times New Roman"/>
          <w:i/>
          <w:iCs/>
          <w:sz w:val="20"/>
          <w:szCs w:val="20"/>
        </w:rPr>
        <w:t>A. Quantitative Measurement</w:t>
      </w:r>
    </w:p>
    <w:p>
      <w:pPr>
        <w:pStyle w:val="Normal"/>
        <w:spacing w:lineRule="exact" w:line="252" w:before="0" w:after="0"/>
        <w:ind w:firstLine="260"/>
        <w:jc w:val="both"/>
        <w:rPr/>
      </w:pPr>
      <w:r>
        <w:rPr>
          <w:rFonts w:eastAsia="Times New Roman" w:cs="Times New Roman"/>
          <w:sz w:val="20"/>
          <w:szCs w:val="20"/>
        </w:rPr>
        <w:t xml:space="preserve">For each short-answer question we compute mean absolute error (MAE) and signed mean error (bias) between the LLM grader’s marks and the teacher’s manual marks, over every record with a valid manual mark. The baseline (original-rubric) columns of Table II report these statistics across all 567 manual-marked records spanning 15 questions.</w:t>
      </w:r>
    </w:p>
    <w:p>
      <w:pPr>
        <w:pStyle w:val="Normal"/>
        <w:spacing w:lineRule="exact" w:line="252" w:before="0" w:after="0"/>
        <w:ind w:firstLine="260"/>
        <w:jc w:val="both"/>
        <w:rPr/>
      </w:pPr>
      <w:r>
        <w:rPr>
          <w:rFonts w:eastAsia="Times New Roman" w:cs="Times New Roman"/>
          <w:sz w:val="20"/>
          <w:szCs w:val="20"/>
        </w:rPr>
        <w:t xml:space="preserve">Bias is negative on all 15 questions, never positive, ranging from −0.12 to −1.01 (Table II), despite the questions spanning unrelated topics. Topic-specific knowledge gaps are an unlikely explanation for so consistent a pattern; the cause is more plausibly structural or prompt-level, although leniency in the manual marks (Section VIII) may contribute to the size of the gap. Consistent with a structural explanation, half-point marks (0.5, 1.5) appeared in only 1.2% of records despite the prompt explicitly permitting them.</w:t>
      </w:r>
    </w:p>
    <w:p>
      <w:pPr>
        <w:pStyle w:val="Normal"/>
        <w:spacing w:before="180" w:after="80"/>
        <w:ind w:hanging="0"/>
        <w:jc w:val="left"/>
        <w:rPr/>
      </w:pPr>
      <w:r>
        <w:rPr>
          <w:rFonts w:eastAsia="Times New Roman" w:cs="Times New Roman"/>
          <w:i/>
          <w:iCs/>
          <w:sz w:val="20"/>
          <w:szCs w:val="20"/>
        </w:rPr>
        <w:t>B. Qualitative Diagnosis</w:t>
      </w:r>
    </w:p>
    <w:p>
      <w:pPr>
        <w:pStyle w:val="Normal"/>
        <w:spacing w:lineRule="exact" w:line="252" w:before="0" w:after="0"/>
        <w:ind w:firstLine="260"/>
        <w:jc w:val="both"/>
        <w:rPr/>
      </w:pPr>
      <w:r>
        <w:rPr>
          <w:rFonts w:eastAsia="Times New Roman" w:cs="Times New Roman"/>
          <w:sz w:val="20"/>
          <w:szCs w:val="20"/>
        </w:rPr>
        <w:t xml:space="preserve">We manually inspected the highest-disagreement records for the four worst questions (Q22, Q23, Q27, Q29). In every case, the grader’s own reasoning trace showed it correctly checking whether the answer contained a specific required term or a method from a closed list, and awarding zero on failing that check, regardless of whether the answer showed a conceptually adequate but differently-worded understanding. On Q22 (why a model scores 99% training but 30% test accuracy), an answer saying the model was “not yet the best solution” and needed re-evaluation via a classification matrix was scored zero against a manual mark of two, the grader noting the absence of the word “overfitting.” On Q27 (outlier detection), an answer correctly describing a standard-deviation-based rule was scored zero because standard deviation was not among the rubric’s named examples (Z-score, IQR, scatter plot, box plot).</w:t>
      </w:r>
    </w:p>
    <w:p>
      <w:pPr>
        <w:pStyle w:val="Normal"/>
        <w:spacing w:lineRule="exact" w:line="252" w:before="0" w:after="0"/>
        <w:ind w:firstLine="260"/>
        <w:jc w:val="both"/>
        <w:rPr/>
      </w:pPr>
      <w:r>
        <w:rPr>
          <w:rFonts w:eastAsia="Times New Roman" w:cs="Times New Roman"/>
          <w:sz w:val="20"/>
          <w:szCs w:val="20"/>
        </w:rPr>
        <w:t>We identify two compounding causes:</w:t>
      </w:r>
    </w:p>
    <w:p>
      <w:pPr>
        <w:pStyle w:val="Normal"/>
        <w:spacing w:lineRule="exact" w:line="252" w:before="0" w:after="0"/>
        <w:ind w:hanging="0" w:left="260"/>
        <w:jc w:val="both"/>
        <w:rPr/>
      </w:pPr>
      <w:r>
        <w:rPr>
          <w:rFonts w:eastAsia="Times New Roman" w:cs="Times New Roman"/>
          <w:sz w:val="20"/>
          <w:szCs w:val="20"/>
        </w:rPr>
        <w:t xml:space="preserve">1) Criterion text encodes an implicit keyword checklist. </w:t>
      </w:r>
      <w:r>
        <w:rPr>
          <w:rFonts w:eastAsia="Times New Roman" w:cs="Times New Roman"/>
          <w:i/>
          <w:iCs/>
          <w:sz w:val="20"/>
          <w:szCs w:val="20"/>
        </w:rPr>
        <w:t>Despite the system prompt's explicit instruction to grade by meaning, per-question criteria phrased as, e.g., “Correctly identifies the problem as overfitting” or “Names … (Z-score, IQR, scatter plot, box plot)” present the model with a literal string or closed list to check against. This task-specific, concrete signal appears to dominate the more abstract system-level instruction when the two are in tension.</w:t>
      </w:r>
    </w:p>
    <w:p>
      <w:pPr>
        <w:pStyle w:val="Normal"/>
        <w:spacing w:lineRule="exact" w:line="252" w:before="0" w:after="0"/>
        <w:ind w:hanging="0" w:left="260"/>
        <w:jc w:val="both"/>
        <w:rPr/>
      </w:pPr>
      <w:r>
        <w:rPr>
          <w:rFonts w:eastAsia="Times New Roman" w:cs="Times New Roman"/>
          <w:sz w:val="20"/>
          <w:szCs w:val="20"/>
        </w:rPr>
        <w:t xml:space="preserve">2) No defined partial-credit rule. </w:t>
      </w:r>
      <w:r>
        <w:rPr>
          <w:rFonts w:eastAsia="Times New Roman" w:cs="Times New Roman"/>
          <w:i/>
          <w:iCs/>
          <w:sz w:val="20"/>
          <w:szCs w:val="20"/>
        </w:rPr>
        <w:t>Each criterion is a flat, single-point check that defines only a pass condition; the output schema has a “partial” status, but nothing in the criterion says what earns it, so the model treats criteria as effectively binary, limiting outcomes to {0, 1, 2} per question even though the surrounding scoring guidance permits 0.5-point granularity.</w:t>
      </w:r>
    </w:p>
    <w:p>
      <w:pPr>
        <w:pStyle w:val="Normal"/>
        <w:spacing w:before="260" w:after="140"/>
        <w:jc w:val="center"/>
        <w:rPr/>
      </w:pPr>
      <w:r>
        <w:rPr>
          <w:rFonts w:eastAsia="Times New Roman" w:cs="Times New Roman"/>
          <w:b/>
          <w:bCs/>
          <w:smallCaps/>
          <w:sz w:val="20"/>
          <w:szCs w:val="20"/>
        </w:rPr>
        <w:t>V. Intervention: Rubric Criterion Rewrite</w:t>
      </w:r>
    </w:p>
    <w:p>
      <w:pPr>
        <w:pStyle w:val="Normal"/>
        <w:spacing w:lineRule="exact" w:line="252" w:before="0" w:after="0"/>
        <w:ind w:firstLine="260"/>
        <w:jc w:val="both"/>
        <w:rPr/>
      </w:pPr>
      <w:r>
        <w:rPr>
          <w:rFonts w:eastAsia="Times New Roman" w:cs="Times New Roman"/>
          <w:sz w:val="20"/>
          <w:szCs w:val="20"/>
        </w:rPr>
        <w:t xml:space="preserve">We rewrote all 15 short-answer questions’ rubric criteria under two constraints designed to isolate the effect of wording: (i) no change to question text, point totals, the grading model, or the system prompt; (ii) rewritten criteria must still sum to the question’s maximum marks. Each criterion was modified in two ways. First, we appended an explicit list of accepted equivalent phrasings, distilled from the false negatives in Section IV and from general domain knowledge. Second, we added an explicit half-point definition, reserving 0.5 of a criterion’s point for a vague or incomplete but topically relevant answer and the full point for clear, complete coverage.</w:t>
      </w:r>
    </w:p>
    <w:p>
      <w:pPr>
        <w:pStyle w:val="Normal"/>
        <w:spacing w:lineRule="exact" w:line="252" w:before="0" w:after="0"/>
        <w:ind w:firstLine="260"/>
        <w:jc w:val="both"/>
        <w:rPr/>
      </w:pPr>
      <w:r>
        <w:rPr>
          <w:rFonts w:eastAsia="Times New Roman" w:cs="Times New Roman"/>
          <w:sz w:val="20"/>
          <w:szCs w:val="20"/>
        </w:rPr>
        <w:t>As an example, criterion 1 of Q22 changed from:</w:t>
      </w:r>
    </w:p>
    <w:p>
      <w:pPr>
        <w:pStyle w:val="Normal"/>
        <w:spacing w:before="100" w:after="100"/>
        <w:ind w:hanging="0" w:left="400" w:right="400"/>
        <w:jc w:val="left"/>
        <w:rPr/>
      </w:pPr>
      <w:r>
        <w:rPr>
          <w:rFonts w:eastAsia="Times New Roman" w:cs="Times New Roman"/>
          <w:i/>
          <w:iCs/>
          <w:sz w:val="18"/>
          <w:szCs w:val="18"/>
        </w:rPr>
        <w:t>“Correctly identifies the problem as overfitting”</w:t>
      </w:r>
    </w:p>
    <w:p>
      <w:pPr>
        <w:pStyle w:val="Normal"/>
        <w:spacing w:lineRule="exact" w:line="252" w:before="0" w:after="0"/>
        <w:ind w:hanging="0"/>
        <w:jc w:val="both"/>
        <w:rPr/>
      </w:pPr>
      <w:r>
        <w:rPr>
          <w:rFonts w:eastAsia="Times New Roman" w:cs="Times New Roman"/>
          <w:sz w:val="20"/>
          <w:szCs w:val="20"/>
        </w:rPr>
        <w:t>to:</w:t>
      </w:r>
    </w:p>
    <w:p>
      <w:pPr>
        <w:pStyle w:val="Normal"/>
        <w:spacing w:before="100" w:after="100"/>
        <w:ind w:hanging="0" w:left="400" w:right="400"/>
        <w:jc w:val="left"/>
        <w:rPr/>
      </w:pPr>
      <w:r>
        <w:rPr>
          <w:rFonts w:eastAsia="Times New Roman" w:cs="Times New Roman"/>
          <w:i/>
          <w:iCs/>
          <w:sz w:val="18"/>
          <w:szCs w:val="18"/>
        </w:rPr>
        <w:t>“Identifies the core issue as the model fitting the training data too closely (overfitting) — accept any clear equivalent phrasing (‘too specific to training data’, ‘learned the training set too well’, ‘doesn't generalize’, ‘high variance’) even if the word ‘overfitting’ never appears. Award 0.5 if the student clearly recognizes a train/test performance-gap problem but only offers a different, incomplete, or incorrect cause … without connecting it to fitting too closely, and 1.0 for any answer, however worded, that correctly diagnoses overfitting.”</w:t>
      </w:r>
    </w:p>
    <w:p>
      <w:pPr>
        <w:pStyle w:val="Normal"/>
        <w:spacing w:lineRule="exact" w:line="252" w:before="0" w:after="0"/>
        <w:ind w:firstLine="260"/>
        <w:jc w:val="both"/>
        <w:rPr/>
      </w:pPr>
      <w:r>
        <w:rPr>
          <w:rFonts w:eastAsia="Times New Roman" w:cs="Times New Roman"/>
          <w:sz w:val="20"/>
          <w:szCs w:val="20"/>
        </w:rPr>
        <w:t xml:space="preserve">The same pattern was applied to all 29 criteria across the 15 questions. The run logs confirm that both the pre- and post-rewrite passes used the identical model and provider (openai/gpt-oss-20b via NVIDIA NIM) on every scored record, isolating rubric wording as the sole independent variable.</w:t>
      </w:r>
    </w:p>
    <w:p>
      <w:pPr>
        <w:pStyle w:val="Normal"/>
        <w:spacing w:before="260" w:after="140"/>
        <w:jc w:val="center"/>
        <w:rPr/>
      </w:pPr>
      <w:r>
        <w:rPr>
          <w:rFonts w:eastAsia="Times New Roman" w:cs="Times New Roman"/>
          <w:b/>
          <w:bCs/>
          <w:smallCaps/>
          <w:sz w:val="20"/>
          <w:szCs w:val="20"/>
        </w:rPr>
        <w:t>VI. Results</w:t>
      </w:r>
    </w:p>
    <w:p>
      <w:pPr>
        <w:pStyle w:val="Normal"/>
        <w:spacing w:before="180" w:after="80"/>
        <w:ind w:hanging="0"/>
        <w:jc w:val="left"/>
        <w:rPr/>
      </w:pPr>
      <w:r>
        <w:rPr>
          <w:rFonts w:eastAsia="Times New Roman" w:cs="Times New Roman"/>
          <w:i/>
          <w:iCs/>
          <w:sz w:val="20"/>
          <w:szCs w:val="20"/>
        </w:rPr>
        <w:t>A. Short-Answer Results</w:t>
      </w:r>
    </w:p>
    <w:p>
      <w:pPr>
        <w:pStyle w:val="Normal"/>
        <w:spacing w:lineRule="exact" w:line="252" w:before="0" w:after="0"/>
        <w:ind w:firstLine="260"/>
        <w:jc w:val="both"/>
        <w:rPr/>
      </w:pPr>
      <w:r>
        <w:rPr>
          <w:rFonts w:eastAsia="Times New Roman" w:cs="Times New Roman"/>
          <w:sz w:val="20"/>
          <w:szCs w:val="20"/>
        </w:rPr>
        <w:t xml:space="preserve">All figures in this subsection cover the complete short-answer dataset (567 manual-marked records, 15 questions, 50 students), before and after the rewrite, with identical model, provider, and system prompt.</w:t>
      </w:r>
    </w:p>
    <w:p>
      <w:pPr>
        <w:pStyle w:val="Normal"/>
        <w:spacing w:before="160" w:after="60"/>
        <w:ind w:hanging="0"/>
        <w:jc w:val="center"/>
        <w:rPr/>
      </w:pPr>
      <w:r>
        <w:rPr>
          <w:rFonts w:eastAsia="Times New Roman" w:cs="Times New Roman"/>
          <w:b w:val="false"/>
          <w:bCs w:val="false"/>
          <w:smallCaps/>
          <w:sz w:val="16"/>
          <w:szCs w:val="16"/>
        </w:rPr>
        <w:t>TABLE I</w:t>
      </w:r>
    </w:p>
    <w:p>
      <w:pPr>
        <w:pStyle w:val="Normal"/>
        <w:spacing w:before="0" w:after="140"/>
        <w:ind w:hanging="0"/>
        <w:jc w:val="center"/>
        <w:rPr/>
      </w:pPr>
      <w:r>
        <w:rPr>
          <w:rFonts w:eastAsia="Times New Roman" w:cs="Times New Roman"/>
          <w:i w:val="false"/>
          <w:iCs w:val="false"/>
          <w:sz w:val="16"/>
          <w:szCs w:val="16"/>
        </w:rPr>
        <w:t>Aggregate Agreement Before vs. After the Rubric Rewrite (n = 567 Both Runs)</w:t>
      </w:r>
    </w:p>
    <w:tbl>
      <w:tblPr>
        <w:tblW w:w="5545" w:type="dxa"/>
        <w:jc w:val="left"/>
        <w:tblInd w:w="0" w:type="dxa"/>
        <w:tblLayout w:type="fixed"/>
        <w:tblCellMar>
          <w:top w:w="40" w:type="dxa"/>
          <w:left w:w="60" w:type="dxa"/>
          <w:bottom w:w="40" w:type="dxa"/>
          <w:right w:w="60" w:type="dxa"/>
        </w:tblCellMar>
      </w:tblPr>
      <w:tblGrid>
        <w:gridCol w:w="1499"/>
        <w:gridCol w:w="1150"/>
        <w:gridCol w:w="1150"/>
        <w:gridCol w:w="1745"/>
      </w:tblGrid>
      <w:tr>
        <w:trPr>
          <w:tblHeader w:val="true"/>
        </w:trPr>
        <w:tc>
          <w:tcPr>
            <w:tcW w:w="1499"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Metric</w:t>
            </w:r>
          </w:p>
        </w:tc>
        <w:tc>
          <w:tcPr>
            <w:tcW w:w="115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Before</w:t>
            </w:r>
          </w:p>
        </w:tc>
        <w:tc>
          <w:tcPr>
            <w:tcW w:w="115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After</w:t>
            </w:r>
          </w:p>
        </w:tc>
        <w:tc>
          <w:tcPr>
            <w:tcW w:w="1745"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Rel. change</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MAE</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0.726</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0.578</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−20.4%</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RMSE</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1.008</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0.837</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−17.0%</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Bias</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−0.608</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−0.437</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−28.2% (magnitude)</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Pearson r</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0.489</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0.568</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+16.1%</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Spearman ρ</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0.504</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0.574</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+13.8%</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QWK</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0.367</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0.480</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+30.9%</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Exact match</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40.9%</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42.2%</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+1.2 pp</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Within 0.5 marks</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44.1%</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60.3%</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+16.2 pp</w:t>
            </w:r>
          </w:p>
        </w:tc>
      </w:tr>
      <w:tr>
        <w:trPr/>
        <w:tc>
          <w:tcPr>
            <w:tcW w:w="1499" w:type="dxa"/>
            <w:tcBorders/>
            <w:vAlign w:val="center"/>
          </w:tcPr>
          <w:p>
            <w:pPr>
              <w:pStyle w:val="Normal"/>
              <w:spacing w:before="0" w:after="0"/>
              <w:jc w:val="left"/>
              <w:rPr/>
            </w:pPr>
            <w:r>
              <w:rPr>
                <w:rFonts w:eastAsia="Times New Roman" w:cs="Times New Roman"/>
                <w:b w:val="false"/>
                <w:bCs w:val="false"/>
                <w:i w:val="false"/>
                <w:iCs w:val="false"/>
                <w:sz w:val="15"/>
                <w:szCs w:val="15"/>
              </w:rPr>
              <w:t>Within 1.0 marks</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84.3%</w:t>
            </w:r>
          </w:p>
        </w:tc>
        <w:tc>
          <w:tcPr>
            <w:tcW w:w="1150" w:type="dxa"/>
            <w:tcBorders/>
            <w:vAlign w:val="center"/>
          </w:tcPr>
          <w:p>
            <w:pPr>
              <w:pStyle w:val="Normal"/>
              <w:spacing w:before="0" w:after="0"/>
              <w:jc w:val="center"/>
              <w:rPr/>
            </w:pPr>
            <w:r>
              <w:rPr>
                <w:rFonts w:eastAsia="Times New Roman" w:cs="Times New Roman"/>
                <w:b w:val="false"/>
                <w:bCs w:val="false"/>
                <w:i w:val="false"/>
                <w:iCs w:val="false"/>
                <w:sz w:val="15"/>
                <w:szCs w:val="15"/>
              </w:rPr>
              <w:t>88.5%</w:t>
            </w:r>
          </w:p>
        </w:tc>
        <w:tc>
          <w:tcPr>
            <w:tcW w:w="1745" w:type="dxa"/>
            <w:tcBorders/>
            <w:vAlign w:val="center"/>
          </w:tcPr>
          <w:p>
            <w:pPr>
              <w:pStyle w:val="Normal"/>
              <w:spacing w:before="0" w:after="0"/>
              <w:jc w:val="center"/>
              <w:rPr/>
            </w:pPr>
            <w:r>
              <w:rPr>
                <w:rFonts w:eastAsia="Times New Roman" w:cs="Times New Roman"/>
                <w:b w:val="false"/>
                <w:bCs w:val="false"/>
                <w:i w:val="false"/>
                <w:iCs w:val="false"/>
                <w:sz w:val="15"/>
                <w:szCs w:val="15"/>
              </w:rPr>
              <w:t>+4.2 pp</w:t>
            </w:r>
          </w:p>
        </w:tc>
      </w:tr>
      <w:tr>
        <w:trPr/>
        <w:tc>
          <w:tcPr>
            <w:tcW w:w="1499" w:type="dxa"/>
            <w:tcBorders>
              <w:bottom w:val="single" w:sz="4" w:space="0" w:color="000000"/>
            </w:tcBorders>
            <w:vAlign w:val="center"/>
          </w:tcPr>
          <w:p>
            <w:pPr>
              <w:pStyle w:val="Normal"/>
              <w:spacing w:before="0" w:after="0"/>
              <w:jc w:val="left"/>
              <w:rPr/>
            </w:pPr>
            <w:r>
              <w:rPr>
                <w:rFonts w:eastAsia="Times New Roman" w:cs="Times New Roman"/>
                <w:b w:val="false"/>
                <w:bCs w:val="false"/>
                <w:i w:val="false"/>
                <w:iCs w:val="false"/>
                <w:sz w:val="15"/>
                <w:szCs w:val="15"/>
              </w:rPr>
              <w:t>Half-point mark usage</w:t>
            </w:r>
          </w:p>
        </w:tc>
        <w:tc>
          <w:tcPr>
            <w:tcW w:w="115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1.2%</w:t>
            </w:r>
          </w:p>
        </w:tc>
        <w:tc>
          <w:tcPr>
            <w:tcW w:w="115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21.0%</w:t>
            </w:r>
          </w:p>
        </w:tc>
        <w:tc>
          <w:tcPr>
            <w:tcW w:w="1745"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+19.8 pp</w:t>
            </w:r>
          </w:p>
        </w:tc>
      </w:tr>
    </w:tbl>
    <w:p>
      <w:pPr>
        <w:pStyle w:val="Normal"/>
        <w:spacing w:before="0" w:after="200"/>
        <w:rPr/>
      </w:pPr>
      <w:r>
        <w:rPr/>
      </w:r>
    </w:p>
    <w:p>
      <w:pPr>
        <w:pStyle w:val="Normal"/>
        <w:spacing w:lineRule="exact" w:line="252" w:before="0" w:after="0"/>
        <w:ind w:firstLine="260"/>
        <w:jc w:val="both"/>
        <w:rPr/>
      </w:pPr>
      <w:r>
        <w:rPr>
          <w:rFonts w:eastAsia="Times New Roman" w:cs="Times New Roman"/>
          <w:sz w:val="20"/>
          <w:szCs w:val="20"/>
        </w:rPr>
        <w:t xml:space="preserve">Every aggregate agreement statistic improved. Quadratic Weighted Kappa (QWK) [27], the standard reliability metric in short-answer scoring, rose 31% relative (0.367 → 0.480), and within-0.5-mark accuracy rose 16.2 points (44.1% → 60.3%). Exact match moved only modestly (40.9% → 42.2%): the rewrite mainly converts large misses into small ones rather than landing on the teacher’s mark more often, which is expected since the new half-point tier introduces a value the teacher’s own marking may not have used. Half-point usage rose roughly 17-fold (1.2% → 21.0%), confirming that the criterion-level partial-credit tier gave the model an intermediate state it now uses.</w:t>
      </w:r>
    </w:p>
    <w:p>
      <w:pPr>
        <w:pStyle w:val="Normal"/>
        <w:spacing w:lineRule="exact" w:line="252" w:before="0" w:after="0"/>
        <w:ind w:firstLine="260"/>
        <w:jc w:val="both"/>
        <w:rPr/>
      </w:pPr>
      <w:r>
        <w:rPr>
          <w:rFonts w:eastAsia="Times New Roman" w:cs="Times New Roman"/>
          <w:sz w:val="20"/>
          <w:szCs w:val="20"/>
        </w:rPr>
        <w:t xml:space="preserve">The needs-review flag (a record is flagged when confidence falls below 0.65, evaluated against a &gt;0.5-mark disagreement with the manual mark) shows a trade of recall for precision. With the same threshold in both runs, the shift reflects a change in the confidence distribution, not the operating point: precision rose from 0.707 to 0.813 while recall fell from 0.221 to 0.116 and F1 from 0.337 to 0.202. The grader flagged 32 of 567 records instead of 99; false alarms fell from 29 to 6, but correctly flagged disagreements fell from 70 to 26. The flag now misses 199 of the 225 records (88%) that disagree with the teacher by more than half a mark, against 247 of 317 (78%) before. Because the flag exists to route doubtful grades to the teacher, recall is the more consequential quantity, so we regard this as a cost of the change rather than a pure gain (Section VII).</w:t>
      </w:r>
    </w:p>
    <w:p>
      <w:pPr>
        <w:pStyle w:val="Normal"/>
        <w:spacing w:lineRule="exact" w:line="252" w:before="0" w:after="0"/>
        <w:ind w:firstLine="260"/>
        <w:jc w:val="both"/>
        <w:rPr/>
      </w:pPr>
      <w:r>
        <w:rPr>
          <w:rFonts w:eastAsia="Times New Roman" w:cs="Times New Roman"/>
          <w:sz w:val="20"/>
          <w:szCs w:val="20"/>
        </w:rPr>
        <w:t xml:space="preserve">Thirteen of the fifteen questions improved on both MAE and bias. Gains were largest where the original rubric was most literal: Q23 showed the largest bias correction (−0.854 → −0.085, MAE 0.902 → 0.500), and Q21 more than halved its MAE (0.766 → 0.362). Gains were much smaller on the three worst questions under the original rubric, Q29 (MAE 1.156 → 1.056), Q22 (1.066 → 1.000), and Q27 (0.978 → 0.833), which remain among the highest-error questions (Q27 now ties Q35 at 0.833), with Q22 still at a bias of −1.000. On Q31 the MAE fell (0.570 → 0.477) but bias magnitude grew slightly (−0.221 → −0.267), and Q34 regressed on both (MAE 0.588 → 0.721, bias −0.559 → −0.662). One untested explanation for Q34 is that its two independent paraphrase-acceptance clauses make the half-point boundary harder to apply consistently; with only 34 records, the change may also be noise.</w:t>
      </w:r>
    </w:p>
    <w:p>
      <w:pPr>
        <w:pStyle w:val="Normal"/>
        <w:spacing w:before="160" w:after="60"/>
        <w:ind w:hanging="0"/>
        <w:jc w:val="center"/>
        <w:rPr/>
      </w:pPr>
      <w:r>
        <w:rPr>
          <w:rFonts w:eastAsia="Times New Roman" w:cs="Times New Roman"/>
          <w:b w:val="false"/>
          <w:bCs w:val="false"/>
          <w:smallCaps/>
          <w:sz w:val="16"/>
          <w:szCs w:val="16"/>
        </w:rPr>
        <w:t>TABLE II</w:t>
      </w:r>
    </w:p>
    <w:p>
      <w:pPr>
        <w:pStyle w:val="Normal"/>
        <w:spacing w:before="0" w:after="140"/>
        <w:ind w:hanging="0"/>
        <w:jc w:val="center"/>
        <w:rPr/>
      </w:pPr>
      <w:r>
        <w:rPr>
          <w:rFonts w:eastAsia="Times New Roman" w:cs="Times New Roman"/>
          <w:i w:val="false"/>
          <w:iCs w:val="false"/>
          <w:sz w:val="16"/>
          <w:szCs w:val="16"/>
        </w:rPr>
        <w:t>Per-Question MAE and Bias, Before (B) vs. After (A) (n per Question Identical Across Runs)</w:t>
      </w:r>
    </w:p>
    <w:tbl>
      <w:tblPr>
        <w:tblW w:w="5220" w:type="dxa"/>
        <w:jc w:val="left"/>
        <w:tblInd w:w="0" w:type="dxa"/>
        <w:tblLayout w:type="fixed"/>
        <w:tblCellMar>
          <w:top w:w="40" w:type="dxa"/>
          <w:left w:w="60" w:type="dxa"/>
          <w:bottom w:w="40" w:type="dxa"/>
          <w:right w:w="60" w:type="dxa"/>
        </w:tblCellMar>
      </w:tblPr>
      <w:tblGrid>
        <w:gridCol w:w="700"/>
        <w:gridCol w:w="620"/>
        <w:gridCol w:w="950"/>
        <w:gridCol w:w="950"/>
        <w:gridCol w:w="999"/>
        <w:gridCol w:w="1000"/>
      </w:tblGrid>
      <w:tr>
        <w:trPr>
          <w:tblHeader w:val="true"/>
        </w:trPr>
        <w:tc>
          <w:tcPr>
            <w:tcW w:w="70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Q</w:t>
            </w:r>
          </w:p>
        </w:tc>
        <w:tc>
          <w:tcPr>
            <w:tcW w:w="62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n</w:t>
            </w:r>
          </w:p>
        </w:tc>
        <w:tc>
          <w:tcPr>
            <w:tcW w:w="95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MAEᵦ</w:t>
            </w:r>
          </w:p>
        </w:tc>
        <w:tc>
          <w:tcPr>
            <w:tcW w:w="95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MAEₐ</w:t>
            </w:r>
          </w:p>
        </w:tc>
        <w:tc>
          <w:tcPr>
            <w:tcW w:w="999"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Biasᵦ</w:t>
            </w:r>
          </w:p>
        </w:tc>
        <w:tc>
          <w:tcPr>
            <w:tcW w:w="100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Biasₐ</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Q21</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47</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0.766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0.362</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−0.638</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−0.213</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Q22</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38</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1.066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1.000</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−1.013</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−1.000</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Q23</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41</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0.902</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0.500</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−0.854</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−0.085</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Q24</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44</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0.636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0.420</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−0.432</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−0.216</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Q25</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0.207</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0.120</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−0.120</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−0.054</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Q26</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0.761</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0.500</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−0.674</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−0.435</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Q27</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45</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0.978</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0.833</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−0.933</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−0.767</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Q28</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0.424</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0.326</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−0.272</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−0.109</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Q29</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45</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1.156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1.056</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−1.000</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−0.856</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Q30</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26</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0.788</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0.769</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−0.558</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−0.538</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Q31</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43</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0.570</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0.477</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−0.221</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−0.267</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Q32</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27</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0.630</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0.519</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−0.556</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−0.444</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Q33</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21</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0.595</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0.524</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−0.595</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−0.524</w:t>
            </w:r>
          </w:p>
        </w:tc>
      </w:tr>
      <w:tr>
        <w:trPr/>
        <w:tc>
          <w:tcPr>
            <w:tcW w:w="700" w:type="dxa"/>
            <w:tcBorders/>
            <w:vAlign w:val="center"/>
          </w:tcPr>
          <w:p>
            <w:pPr>
              <w:pStyle w:val="Normal"/>
              <w:spacing w:before="0" w:after="0"/>
              <w:jc w:val="left"/>
              <w:rPr/>
            </w:pPr>
            <w:r>
              <w:rPr>
                <w:rFonts w:eastAsia="Times New Roman" w:cs="Times New Roman"/>
                <w:b w:val="false"/>
                <w:bCs w:val="false"/>
                <w:i w:val="false"/>
                <w:iCs w:val="false"/>
                <w:sz w:val="15"/>
                <w:szCs w:val="15"/>
              </w:rPr>
              <w:t>Q34</w:t>
            </w:r>
          </w:p>
        </w:tc>
        <w:tc>
          <w:tcPr>
            <w:tcW w:w="620" w:type="dxa"/>
            <w:tcBorders/>
            <w:vAlign w:val="center"/>
          </w:tcPr>
          <w:p>
            <w:pPr>
              <w:pStyle w:val="Normal"/>
              <w:spacing w:before="0" w:after="0"/>
              <w:jc w:val="center"/>
              <w:rPr/>
            </w:pPr>
            <w:r>
              <w:rPr>
                <w:rFonts w:eastAsia="Times New Roman" w:cs="Times New Roman"/>
                <w:b w:val="false"/>
                <w:bCs w:val="false"/>
                <w:i w:val="false"/>
                <w:iCs w:val="false"/>
                <w:sz w:val="15"/>
                <w:szCs w:val="15"/>
              </w:rPr>
              <w:t>34</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0.588</w:t>
            </w:r>
          </w:p>
        </w:tc>
        <w:tc>
          <w:tcPr>
            <w:tcW w:w="950" w:type="dxa"/>
            <w:tcBorders/>
            <w:vAlign w:val="center"/>
          </w:tcPr>
          <w:p>
            <w:pPr>
              <w:pStyle w:val="Normal"/>
              <w:spacing w:before="0" w:after="0"/>
              <w:jc w:val="center"/>
              <w:rPr/>
            </w:pPr>
            <w:r>
              <w:rPr>
                <w:rFonts w:eastAsia="Times New Roman" w:cs="Times New Roman"/>
                <w:b w:val="false"/>
                <w:bCs w:val="false"/>
                <w:i w:val="false"/>
                <w:iCs w:val="false"/>
                <w:sz w:val="15"/>
                <w:szCs w:val="15"/>
              </w:rPr>
              <w:t>0.721</w:t>
            </w:r>
          </w:p>
        </w:tc>
        <w:tc>
          <w:tcPr>
            <w:tcW w:w="999" w:type="dxa"/>
            <w:tcBorders/>
            <w:vAlign w:val="center"/>
          </w:tcPr>
          <w:p>
            <w:pPr>
              <w:pStyle w:val="Normal"/>
              <w:spacing w:before="0" w:after="0"/>
              <w:jc w:val="center"/>
              <w:rPr/>
            </w:pPr>
            <w:r>
              <w:rPr>
                <w:rFonts w:eastAsia="Times New Roman" w:cs="Times New Roman"/>
                <w:b w:val="false"/>
                <w:bCs w:val="false"/>
                <w:i w:val="false"/>
                <w:iCs w:val="false"/>
                <w:sz w:val="15"/>
                <w:szCs w:val="15"/>
              </w:rPr>
              <w:t>−0.559</w:t>
            </w:r>
          </w:p>
        </w:tc>
        <w:tc>
          <w:tcPr>
            <w:tcW w:w="1000" w:type="dxa"/>
            <w:tcBorders/>
            <w:vAlign w:val="center"/>
          </w:tcPr>
          <w:p>
            <w:pPr>
              <w:pStyle w:val="Normal"/>
              <w:spacing w:before="0" w:after="0"/>
              <w:jc w:val="center"/>
              <w:rPr/>
            </w:pPr>
            <w:r>
              <w:rPr>
                <w:rFonts w:eastAsia="Times New Roman" w:cs="Times New Roman"/>
                <w:b w:val="false"/>
                <w:bCs w:val="false"/>
                <w:i w:val="false"/>
                <w:iCs w:val="false"/>
                <w:sz w:val="15"/>
                <w:szCs w:val="15"/>
              </w:rPr>
              <w:t>−0.662</w:t>
            </w:r>
          </w:p>
        </w:tc>
      </w:tr>
      <w:tr>
        <w:trPr/>
        <w:tc>
          <w:tcPr>
            <w:tcW w:w="700" w:type="dxa"/>
            <w:tcBorders>
              <w:bottom w:val="single" w:sz="4" w:space="0" w:color="000000"/>
            </w:tcBorders>
            <w:vAlign w:val="center"/>
          </w:tcPr>
          <w:p>
            <w:pPr>
              <w:pStyle w:val="Normal"/>
              <w:spacing w:before="0" w:after="0"/>
              <w:jc w:val="left"/>
              <w:rPr/>
            </w:pPr>
            <w:r>
              <w:rPr>
                <w:rFonts w:eastAsia="Times New Roman" w:cs="Times New Roman"/>
                <w:b w:val="false"/>
                <w:bCs w:val="false"/>
                <w:i w:val="false"/>
                <w:iCs w:val="false"/>
                <w:sz w:val="15"/>
                <w:szCs w:val="15"/>
              </w:rPr>
              <w:t>Q35</w:t>
            </w:r>
          </w:p>
        </w:tc>
        <w:tc>
          <w:tcPr>
            <w:tcW w:w="62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18</w:t>
            </w:r>
          </w:p>
        </w:tc>
        <w:tc>
          <w:tcPr>
            <w:tcW w:w="95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0.861</w:t>
            </w:r>
          </w:p>
        </w:tc>
        <w:tc>
          <w:tcPr>
            <w:tcW w:w="95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0.833</w:t>
            </w:r>
          </w:p>
        </w:tc>
        <w:tc>
          <w:tcPr>
            <w:tcW w:w="999"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−0.861</w:t>
            </w:r>
          </w:p>
        </w:tc>
        <w:tc>
          <w:tcPr>
            <w:tcW w:w="1000"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−0.833</w:t>
            </w:r>
          </w:p>
        </w:tc>
      </w:tr>
    </w:tbl>
    <w:p>
      <w:pPr>
        <w:pStyle w:val="Normal"/>
        <w:spacing w:before="0" w:after="200"/>
        <w:rPr/>
      </w:pPr>
      <w:r>
        <w:rPr/>
      </w:r>
    </w:p>
    <w:p>
      <w:pPr>
        <w:pStyle w:val="Normal"/>
        <w:spacing w:before="180" w:after="80"/>
        <w:ind w:hanging="0"/>
        <w:jc w:val="left"/>
        <w:rPr/>
      </w:pPr>
      <w:r>
        <w:rPr>
          <w:rFonts w:eastAsia="Times New Roman" w:cs="Times New Roman"/>
          <w:i/>
          <w:iCs/>
          <w:sz w:val="20"/>
          <w:szCs w:val="20"/>
        </w:rPr>
        <w:t>B. Multiple-Choice Results</w:t>
      </w:r>
    </w:p>
    <w:p>
      <w:pPr>
        <w:pStyle w:val="Normal"/>
        <w:spacing w:lineRule="exact" w:line="252" w:before="0" w:after="0"/>
        <w:ind w:firstLine="260"/>
        <w:jc w:val="both"/>
        <w:rPr/>
      </w:pPr>
      <w:r>
        <w:rPr>
          <w:rFonts w:eastAsia="Times New Roman" w:cs="Times New Roman"/>
          <w:sz w:val="20"/>
          <w:szCs w:val="20"/>
        </w:rPr>
        <w:t xml:space="preserve">Table III reports agreement between the LLM answer matcher (Section III-C) and manual marks across the complete 1,000-record objective section (20 questions × 50 students). The matcher achieves near-ceiling agreement: 97.5% exact match, MAE = 0.025 on a 1-point scale, and QWK = 0.949, despite grading free-form, inconsistently formatted answers. Per-question accuracy ranges from 92.0% to 100.0%.</w:t>
      </w:r>
    </w:p>
    <w:p>
      <w:pPr>
        <w:pStyle w:val="Normal"/>
        <w:spacing w:lineRule="exact" w:line="252" w:before="0" w:after="0"/>
        <w:ind w:firstLine="260"/>
        <w:jc w:val="both"/>
        <w:rPr/>
      </w:pPr>
      <w:r>
        <w:rPr>
          <w:rFonts w:eastAsia="Times New Roman" w:cs="Times New Roman"/>
          <w:sz w:val="20"/>
          <w:szCs w:val="20"/>
        </w:rPr>
        <w:t xml:space="preserve">The needs-review flag on this track shows the same low recall seen on the rewritten short-answer track, with precision also low. Of 1,000 records, 25 (2.5%) were misgraded. The flag fired on 11 records, of which only 1 was a true misgrade (precision = 0.091, recall = 0.040, F1 = 0.056). The flagged records’ stated reasons are dominated by blank extractions and low-confidence verdicts rather than substantive matching disputes, so the flag is catching a different, much smaller class of problem than “disagrees with the teacher.” Because this track uses a different, smaller model (qwen2.5:3b) and a simpler binary judgment, the weakness is unlikely to be an artifact of either the model or the rewrite (Section VII).</w:t>
      </w:r>
    </w:p>
    <w:p>
      <w:pPr>
        <w:pStyle w:val="Normal"/>
        <w:spacing w:before="160" w:after="60"/>
        <w:ind w:hanging="0"/>
        <w:jc w:val="center"/>
        <w:rPr/>
      </w:pPr>
      <w:r>
        <w:rPr>
          <w:rFonts w:eastAsia="Times New Roman" w:cs="Times New Roman"/>
          <w:b w:val="false"/>
          <w:bCs w:val="false"/>
          <w:smallCaps/>
          <w:sz w:val="16"/>
          <w:szCs w:val="16"/>
        </w:rPr>
        <w:t>TABLE III</w:t>
      </w:r>
    </w:p>
    <w:p>
      <w:pPr>
        <w:pStyle w:val="Normal"/>
        <w:spacing w:before="0" w:after="140"/>
        <w:ind w:hanging="0"/>
        <w:jc w:val="center"/>
        <w:rPr/>
      </w:pPr>
      <w:r>
        <w:rPr>
          <w:rFonts w:eastAsia="Times New Roman" w:cs="Times New Roman"/>
          <w:i w:val="false"/>
          <w:iCs w:val="false"/>
          <w:sz w:val="16"/>
          <w:szCs w:val="16"/>
        </w:rPr>
        <w:t>MCQ / True-False Aggregate Agreement (n = 1000)</w:t>
      </w:r>
    </w:p>
    <w:tbl>
      <w:tblPr>
        <w:tblW w:w="5145" w:type="dxa"/>
        <w:jc w:val="left"/>
        <w:tblInd w:w="0" w:type="dxa"/>
        <w:tblLayout w:type="fixed"/>
        <w:tblCellMar>
          <w:top w:w="40" w:type="dxa"/>
          <w:left w:w="60" w:type="dxa"/>
          <w:bottom w:w="40" w:type="dxa"/>
          <w:right w:w="60" w:type="dxa"/>
        </w:tblCellMar>
      </w:tblPr>
      <w:tblGrid>
        <w:gridCol w:w="2700"/>
        <w:gridCol w:w="2444"/>
      </w:tblGrid>
      <w:tr>
        <w:trPr>
          <w:tblHeader w:val="true"/>
        </w:trPr>
        <w:tc>
          <w:tcPr>
            <w:tcW w:w="2700"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Metric</w:t>
            </w:r>
          </w:p>
        </w:tc>
        <w:tc>
          <w:tcPr>
            <w:tcW w:w="2444" w:type="dxa"/>
            <w:tcBorders>
              <w:top w:val="single" w:sz="4" w:space="0" w:color="000000"/>
              <w:bottom w:val="single" w:sz="4" w:space="0" w:color="000000"/>
            </w:tcBorders>
            <w:vAlign w:val="center"/>
          </w:tcPr>
          <w:p>
            <w:pPr>
              <w:pStyle w:val="Normal"/>
              <w:spacing w:before="0" w:after="0"/>
              <w:jc w:val="center"/>
              <w:rPr/>
            </w:pPr>
            <w:r>
              <w:rPr>
                <w:rFonts w:eastAsia="Times New Roman" w:cs="Times New Roman"/>
                <w:b/>
                <w:bCs/>
                <w:i w:val="false"/>
                <w:iCs w:val="false"/>
                <w:sz w:val="15"/>
                <w:szCs w:val="15"/>
              </w:rPr>
              <w:t>Value</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n (records)</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1000</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MAE</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0.025</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RMSE</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0.158</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Bias</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+0.007</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Pearson r</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0.950</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Spearman ρ</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0.950</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QWK</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0.949</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Exact-match accuracy</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97.5%</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Within 0.5 marks</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97.5%</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Within 1.0 marks</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100.0%</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Needs-review precision</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0.091</w:t>
            </w:r>
          </w:p>
        </w:tc>
      </w:tr>
      <w:tr>
        <w:trPr/>
        <w:tc>
          <w:tcPr>
            <w:tcW w:w="2700" w:type="dxa"/>
            <w:tcBorders/>
            <w:vAlign w:val="center"/>
          </w:tcPr>
          <w:p>
            <w:pPr>
              <w:pStyle w:val="Normal"/>
              <w:spacing w:before="0" w:after="0"/>
              <w:jc w:val="left"/>
              <w:rPr/>
            </w:pPr>
            <w:r>
              <w:rPr>
                <w:rFonts w:eastAsia="Times New Roman" w:cs="Times New Roman"/>
                <w:b w:val="false"/>
                <w:bCs w:val="false"/>
                <w:i w:val="false"/>
                <w:iCs w:val="false"/>
                <w:sz w:val="15"/>
                <w:szCs w:val="15"/>
              </w:rPr>
              <w:t>Needs-review recall</w:t>
            </w:r>
          </w:p>
        </w:tc>
        <w:tc>
          <w:tcPr>
            <w:tcW w:w="2444" w:type="dxa"/>
            <w:tcBorders/>
            <w:vAlign w:val="center"/>
          </w:tcPr>
          <w:p>
            <w:pPr>
              <w:pStyle w:val="Normal"/>
              <w:spacing w:before="0" w:after="0"/>
              <w:jc w:val="center"/>
              <w:rPr/>
            </w:pPr>
            <w:r>
              <w:rPr>
                <w:rFonts w:eastAsia="Times New Roman" w:cs="Times New Roman"/>
                <w:b w:val="false"/>
                <w:bCs w:val="false"/>
                <w:i w:val="false"/>
                <w:iCs w:val="false"/>
                <w:sz w:val="15"/>
                <w:szCs w:val="15"/>
              </w:rPr>
              <w:t>0.040</w:t>
            </w:r>
          </w:p>
        </w:tc>
      </w:tr>
      <w:tr>
        <w:trPr/>
        <w:tc>
          <w:tcPr>
            <w:tcW w:w="2700" w:type="dxa"/>
            <w:tcBorders>
              <w:bottom w:val="single" w:sz="4" w:space="0" w:color="000000"/>
            </w:tcBorders>
            <w:vAlign w:val="center"/>
          </w:tcPr>
          <w:p>
            <w:pPr>
              <w:pStyle w:val="Normal"/>
              <w:spacing w:before="0" w:after="0"/>
              <w:jc w:val="left"/>
              <w:rPr/>
            </w:pPr>
            <w:r>
              <w:rPr>
                <w:rFonts w:eastAsia="Times New Roman" w:cs="Times New Roman"/>
                <w:b w:val="false"/>
                <w:bCs w:val="false"/>
                <w:i w:val="false"/>
                <w:iCs w:val="false"/>
                <w:sz w:val="15"/>
                <w:szCs w:val="15"/>
              </w:rPr>
              <w:t>Needs-review F1</w:t>
            </w:r>
          </w:p>
        </w:tc>
        <w:tc>
          <w:tcPr>
            <w:tcW w:w="2444" w:type="dxa"/>
            <w:tcBorders>
              <w:bottom w:val="single" w:sz="4" w:space="0" w:color="000000"/>
            </w:tcBorders>
            <w:vAlign w:val="center"/>
          </w:tcPr>
          <w:p>
            <w:pPr>
              <w:pStyle w:val="Normal"/>
              <w:spacing w:before="0" w:after="0"/>
              <w:jc w:val="center"/>
              <w:rPr/>
            </w:pPr>
            <w:r>
              <w:rPr>
                <w:rFonts w:eastAsia="Times New Roman" w:cs="Times New Roman"/>
                <w:b w:val="false"/>
                <w:bCs w:val="false"/>
                <w:i w:val="false"/>
                <w:iCs w:val="false"/>
                <w:sz w:val="15"/>
                <w:szCs w:val="15"/>
              </w:rPr>
              <w:t>0.056</w:t>
            </w:r>
          </w:p>
        </w:tc>
      </w:tr>
    </w:tbl>
    <w:p>
      <w:pPr>
        <w:pStyle w:val="Normal"/>
        <w:spacing w:before="0" w:after="200"/>
        <w:rPr/>
      </w:pPr>
      <w:r>
        <w:rPr/>
      </w:r>
    </w:p>
    <w:p>
      <w:pPr>
        <w:pStyle w:val="Normal"/>
        <w:spacing w:before="260" w:after="140"/>
        <w:jc w:val="center"/>
        <w:rPr/>
      </w:pPr>
      <w:r>
        <w:rPr>
          <w:rFonts w:eastAsia="Times New Roman" w:cs="Times New Roman"/>
          <w:b/>
          <w:bCs/>
          <w:smallCaps/>
          <w:sz w:val="20"/>
          <w:szCs w:val="20"/>
        </w:rPr>
        <w:t>VII. Discussion</w:t>
      </w:r>
    </w:p>
    <w:p>
      <w:pPr>
        <w:pStyle w:val="Normal"/>
        <w:spacing w:lineRule="exact" w:line="252" w:before="0" w:after="0"/>
        <w:ind w:firstLine="260"/>
        <w:jc w:val="both"/>
        <w:rPr/>
      </w:pPr>
      <w:r>
        <w:rPr>
          <w:rFonts w:eastAsia="Times New Roman" w:cs="Times New Roman"/>
          <w:sz w:val="20"/>
          <w:szCs w:val="20"/>
        </w:rPr>
        <w:t xml:space="preserve">Our results suggest that rubric-criterion text functions as a de facto extension of the system prompt, able to override higher-level instructions when the two conflict: “grade by meaning” was insufficient when criteria were phrased as literal keyword or closed-list checks. Rubric criteria therefore deserve the same adversarial review as the system prompt, for example by testing against real student answers that are correct in unexpected wording before deployment. Likewise, prompt-level permission for half-point scoring did not produce half-point scores, while a criterion-level partial-credit tier did, suggesting that score granularity is bottlenecked by the rubric’s structure.</w:t>
      </w:r>
    </w:p>
    <w:p>
      <w:pPr>
        <w:pStyle w:val="Normal"/>
        <w:spacing w:lineRule="exact" w:line="252" w:before="0" w:after="0"/>
        <w:ind w:firstLine="260"/>
        <w:jc w:val="both"/>
        <w:rPr/>
      </w:pPr>
      <w:r>
        <w:rPr>
          <w:rFonts w:eastAsia="Times New Roman" w:cs="Times New Roman"/>
          <w:sz w:val="20"/>
          <w:szCs w:val="20"/>
        </w:rPr>
        <w:t xml:space="preserve">An open question is whether paraphrase-tolerant criteria overshoot into false positives, crediting answers a human would consider incorrect. The aggregate evidence is reassuring but not conclusive: exact match moved only modestly while within-tolerance accuracy rose sharply, and mean bias remains negative (−0.437) rather than overshooting. Still, a case-by-case audit of records where the new rubric awards more credit than the old one is needed before the approach is treated as validated rather than merely plausible.</w:t>
      </w:r>
    </w:p>
    <w:p>
      <w:pPr>
        <w:pStyle w:val="Normal"/>
        <w:spacing w:lineRule="exact" w:line="252" w:before="0" w:after="0"/>
        <w:ind w:firstLine="260"/>
        <w:jc w:val="both"/>
        <w:rPr/>
      </w:pPr>
      <w:r>
        <w:rPr>
          <w:rFonts w:eastAsia="Times New Roman" w:cs="Times New Roman"/>
          <w:sz w:val="20"/>
          <w:szCs w:val="20"/>
        </w:rPr>
        <w:t xml:space="preserve">A further observation, visible only because both tracks are evaluated under one framework, is that the needs-review flag’s low-recall pattern is not confined to the short-answer track or the rewrite. The objective track, with a different, smaller model and a simpler binary judgment, shows the same low recall, with most actual disagreements passing unflagged. This is more consistent with a structural explanation than with model-specific miscalibration: a single self-reported confidence produced by the same call as the grade may be a weak proxy for “this grade is wrong,” since a model’s confidence in its verdict is not its accuracy against independent ground truth. Whether a better proxy exists, such as cross-model or cross-prompt disagreement, is future work; the present findings show only that confidence-based flagging under-serves teacher-in-the-loop review on both tracks.</w:t>
      </w:r>
    </w:p>
    <w:p>
      <w:pPr>
        <w:pStyle w:val="Normal"/>
        <w:spacing w:before="260" w:after="140"/>
        <w:jc w:val="center"/>
        <w:rPr/>
      </w:pPr>
      <w:r>
        <w:rPr>
          <w:rFonts w:eastAsia="Times New Roman" w:cs="Times New Roman"/>
          <w:b/>
          <w:bCs/>
          <w:smallCaps/>
          <w:sz w:val="20"/>
          <w:szCs w:val="20"/>
        </w:rPr>
        <w:t>VIII. Limitations</w:t>
      </w:r>
    </w:p>
    <w:p>
      <w:pPr>
        <w:pStyle w:val="Normal"/>
        <w:spacing w:lineRule="exact" w:line="252" w:before="0" w:after="0"/>
        <w:ind w:firstLine="260"/>
        <w:jc w:val="both"/>
        <w:rPr/>
      </w:pPr>
      <w:r>
        <w:rPr>
          <w:rFonts w:eastAsia="Times New Roman" w:cs="Times New Roman"/>
          <w:sz w:val="20"/>
          <w:szCs w:val="20"/>
        </w:rPr>
        <w:t xml:space="preserve">This study concerns a single course, a single exam, a single open-ended grading model (openai/gpt-oss-20b), and a single question structure for the rewrite case study: nearly every short-answer question is a fixed 2-mark item with two 1-point criteria. The schema-generality argument in Section I is structural, not empirical; we have not run RubricTrace on, say, a five-mark question split across three criteria, and cannot rule out that the failure or its fix behaves differently there. Generalization across model families is likewise unknown. The rewrite was authored with knowledge of the specific failures observed, so the fix may be tailored to the wrong answers already seen; a cleaner design would hold out a subset of high-disagreement cases from rewrite authoring. Manual marks come from a single human grader per script with no inter-rater data, so part of the measured “bias” may be grader leniency. Q31 and Q34 did not improve on both measures and we have no conclusive mechanism, so criterion rewriting should be validated per question. Results are from a single run per condition with no confidence intervals, and with only 18–47 records per question, individual changes may lie within noise. Finally, grading operates on extracted text, and we did not separate OCR errors from grading errors.</w:t>
      </w:r>
    </w:p>
    <w:p>
      <w:pPr>
        <w:pStyle w:val="Normal"/>
        <w:spacing w:lineRule="exact" w:line="252" w:before="0" w:after="0"/>
        <w:ind w:firstLine="260"/>
        <w:jc w:val="both"/>
        <w:rPr/>
      </w:pPr>
      <w:r>
        <w:rPr>
          <w:rFonts w:eastAsia="Times New Roman" w:cs="Times New Roman"/>
          <w:sz w:val="20"/>
          <w:szCs w:val="20"/>
        </w:rPr>
        <w:t xml:space="preserve">The objective-track results are a single-run evaluation without a literal-string-matching baseline, so the gain from the LLM matcher over deterministic matching is unquantified. The two tracks use different models by design, so the cross-track similarity in flag behavior is suggestive rather than a controlled comparison. We did not audit whether reasoning traces and evidence spans are faithful, and a correct mark can accompany an inaccurate justification. Objective agreement also includes unattempted questions, where a blank answer and a manual mark of 0 agree trivially, and attempted-only accuracy is not reported, so headline agreement may be modestly optimistic.</w:t>
      </w:r>
    </w:p>
    <w:p>
      <w:pPr>
        <w:pStyle w:val="Normal"/>
        <w:spacing w:before="260" w:after="140"/>
        <w:jc w:val="center"/>
        <w:rPr/>
      </w:pPr>
      <w:r>
        <w:rPr>
          <w:rFonts w:eastAsia="Times New Roman" w:cs="Times New Roman"/>
          <w:b/>
          <w:bCs/>
          <w:smallCaps/>
          <w:sz w:val="20"/>
          <w:szCs w:val="20"/>
        </w:rPr>
        <w:t>IX. Conclusion and Future Work</w:t>
      </w:r>
    </w:p>
    <w:p>
      <w:pPr>
        <w:pStyle w:val="Normal"/>
        <w:spacing w:lineRule="exact" w:line="252" w:before="0" w:after="0"/>
        <w:ind w:firstLine="260"/>
        <w:jc w:val="both"/>
        <w:rPr/>
      </w:pPr>
      <w:r>
        <w:rPr>
          <w:rFonts w:eastAsia="Times New Roman" w:cs="Times New Roman"/>
          <w:sz w:val="20"/>
          <w:szCs w:val="20"/>
        </w:rPr>
        <w:t xml:space="preserve">An LLM grader with an explicit “grade by meaning” instruction can still exhibit a large, systematic, question-independent negative bias when rubric-criterion text acts as an implicit keyword checklist and the criteria define no rule for partial credit. Rewriting criterion text alone, enumerating accepted paraphrases and defining half-point tiers, reduced MAE by 20% and bias magnitude by 28% (in-sample), raised QWK by 31% relative, and increased half-point usage roughly 17-fold. The needs-review flag became more precise but less sensitive. On the objective section, an LLM answer matcher reached 97.5% exact match (QWK = 0.949), but the flag showed the same low-recall pattern on a different model and task, suggesting a weakness of confidence-based self-flagging on this exam, although only 25 records were misgraded, of which the flag caught one. Future work includes: a case-level audit of newly credited records for over-crediting; a second-pass rewrite of Q34; redesigning the review signal around disagreement among 2–3 grader responses rather than self-reported confidence; cross-model replication; a literal-string-matching baseline for the objective track; held-out validation and an ablation separating the paraphrase lists from the half-point tier; confidence intervals with repeated runs; and an automated rubric-linting step that flags criteria written as closed keyword or method lists.</w:t>
      </w:r>
    </w:p>
    <w:p>
      <w:pPr>
        <w:pStyle w:val="Normal"/>
        <w:spacing w:before="260" w:after="140"/>
        <w:jc w:val="center"/>
        <w:rPr/>
      </w:pPr>
      <w:r>
        <w:rPr>
          <w:rFonts w:eastAsia="Times New Roman" w:cs="Times New Roman"/>
          <w:b/>
          <w:bCs/>
          <w:smallCaps/>
          <w:sz w:val="20"/>
          <w:szCs w:val="20"/>
        </w:rPr>
        <w:t>References</w:t>
      </w:r>
    </w:p>
    <w:p>
      <w:pPr>
        <w:pStyle w:val="Normal"/>
        <w:spacing w:lineRule="exact" w:line="240" w:before="0" w:after="80"/>
        <w:ind w:hanging="300" w:left="300"/>
        <w:jc w:val="both"/>
        <w:rPr/>
      </w:pPr>
      <w:r>
        <w:rPr>
          <w:rFonts w:eastAsia="Times New Roman" w:cs="Times New Roman"/>
          <w:sz w:val="16"/>
          <w:szCs w:val="16"/>
        </w:rPr>
        <w:t>[1]  L. Zheng, W.-L. Chiang, Y. Sheng, S. Zhuang, Z. Wu, Y. Zhuang, Z. Lin, Z. Li, D. Li, E. Xing, H. Zhang, J. E. Gonzalez, and I. Stoica, “Judging LLM-as-a-judge with MT-Bench and Chatbot Arena,” in Advances in Neural Information Processing Systems (NeurIPS), 2023.</w:t>
      </w:r>
    </w:p>
    <w:p>
      <w:pPr>
        <w:pStyle w:val="Normal"/>
        <w:spacing w:lineRule="exact" w:line="240" w:before="0" w:after="80"/>
        <w:ind w:hanging="300" w:left="300"/>
        <w:jc w:val="both"/>
        <w:rPr/>
      </w:pPr>
      <w:r>
        <w:rPr>
          <w:rFonts w:eastAsia="Times New Roman" w:cs="Times New Roman"/>
          <w:sz w:val="16"/>
          <w:szCs w:val="16"/>
        </w:rPr>
        <w:t>[2]  H. Li, Q. Dong, J. Chen, H. Su, Y. Zhou, Q. Ai, Z. Ye, and Y. Liu, “LLMs-as-judges: A comprehensive survey on LLM-based evaluation methods,” arXiv preprint arXiv:2412.05579, 2024.</w:t>
      </w:r>
    </w:p>
    <w:p>
      <w:pPr>
        <w:pStyle w:val="Normal"/>
        <w:spacing w:lineRule="exact" w:line="240" w:before="0" w:after="80"/>
        <w:ind w:hanging="300" w:left="300"/>
        <w:jc w:val="both"/>
        <w:rPr/>
      </w:pPr>
      <w:r>
        <w:rPr>
          <w:rFonts w:eastAsia="Times New Roman" w:cs="Times New Roman"/>
          <w:sz w:val="16"/>
          <w:szCs w:val="16"/>
        </w:rPr>
        <w:t>[3]  J. Gu et al., “A survey on LLM-as-a-judge,” arXiv preprint arXiv:2411.15594, 2024.</w:t>
      </w:r>
    </w:p>
    <w:p>
      <w:pPr>
        <w:pStyle w:val="Normal"/>
        <w:spacing w:lineRule="exact" w:line="240" w:before="0" w:after="80"/>
        <w:ind w:hanging="300" w:left="300"/>
        <w:jc w:val="both"/>
        <w:rPr/>
      </w:pPr>
      <w:r>
        <w:rPr>
          <w:rFonts w:eastAsia="Times New Roman" w:cs="Times New Roman"/>
          <w:sz w:val="16"/>
          <w:szCs w:val="16"/>
        </w:rPr>
        <w:t>[4]  G. H. Chen, S. Chen, Z. Liu, F. Jiang, and B. Wang, “Humans or LLMs as the judge? A study on judgement biases,” arXiv preprint arXiv:2402.10669, 2024.</w:t>
      </w:r>
    </w:p>
    <w:p>
      <w:pPr>
        <w:pStyle w:val="Normal"/>
        <w:spacing w:lineRule="exact" w:line="240" w:before="0" w:after="80"/>
        <w:ind w:hanging="300" w:left="300"/>
        <w:jc w:val="both"/>
        <w:rPr/>
      </w:pPr>
      <w:r>
        <w:rPr>
          <w:rFonts w:eastAsia="Times New Roman" w:cs="Times New Roman"/>
          <w:sz w:val="16"/>
          <w:szCs w:val="16"/>
        </w:rPr>
        <w:t>[5]  S. Burrows, I. Gurevych, and B. Stein, “The eras and trends of automatic short answer grading,” International Journal of Artificial Intelligence in Education, vol. 25, no. 1, pp. 60–117, 2015.</w:t>
      </w:r>
    </w:p>
    <w:p>
      <w:pPr>
        <w:pStyle w:val="Normal"/>
        <w:spacing w:lineRule="exact" w:line="240" w:before="0" w:after="80"/>
        <w:ind w:hanging="300" w:left="300"/>
        <w:jc w:val="both"/>
        <w:rPr/>
      </w:pPr>
      <w:r>
        <w:rPr>
          <w:rFonts w:eastAsia="Times New Roman" w:cs="Times New Roman"/>
          <w:sz w:val="16"/>
          <w:szCs w:val="16"/>
        </w:rPr>
        <w:t>[6]  S. Bonthu, S. R. Sree, and M. H. M. Krishna Prasad, “Automated short answer grading using deep learning: A survey,” in International Cross-Domain Conference for Machine Learning and Knowledge Extraction. Springer, 2021, pp. 61–78.</w:t>
      </w:r>
    </w:p>
    <w:p>
      <w:pPr>
        <w:pStyle w:val="Normal"/>
        <w:spacing w:lineRule="exact" w:line="240" w:before="0" w:after="80"/>
        <w:ind w:hanging="300" w:left="300"/>
        <w:jc w:val="both"/>
        <w:rPr/>
      </w:pPr>
      <w:r>
        <w:rPr>
          <w:rFonts w:eastAsia="Times New Roman" w:cs="Times New Roman"/>
          <w:sz w:val="16"/>
          <w:szCs w:val="16"/>
        </w:rPr>
        <w:t>[7]  M. Mohler, R. Bunescu, and R. Mihalcea, “Learning to grade short answer questions using semantic similarity measures and dependency graph alignments,” in Proc. 49th Annu. Meeting Assoc. Computational Linguistics: Human Language Technologies (ACL-HLT), Portland, OR, USA, Jun. 2011, pp. 752–762.</w:t>
      </w:r>
    </w:p>
    <w:p>
      <w:pPr>
        <w:pStyle w:val="Normal"/>
        <w:spacing w:lineRule="exact" w:line="240" w:before="0" w:after="80"/>
        <w:ind w:hanging="300" w:left="300"/>
        <w:jc w:val="both"/>
        <w:rPr/>
      </w:pPr>
      <w:r>
        <w:rPr>
          <w:rFonts w:eastAsia="Times New Roman" w:cs="Times New Roman"/>
          <w:sz w:val="16"/>
          <w:szCs w:val="16"/>
        </w:rPr>
        <w:t>[8]  M. Dzikovska, R. Nielsen, C. Brew, C. Leacock, D. Giampiccolo, L. Bentivogli, P. Clark, I. Dagan, and H. T. Dang, “SemEval-2013 Task 7: The joint student response analysis and 8th recognizing textual entailment challenge,” in Proc. 2nd Joint Conf. Lexical and Computational Semantics (*SEM), Vol. 2: 7th Int. Workshop on Semantic Evaluation (SemEval 2013), Atlanta, GA, USA, Jun. 2013, pp. 263–274.</w:t>
      </w:r>
    </w:p>
    <w:p>
      <w:pPr>
        <w:pStyle w:val="Normal"/>
        <w:spacing w:lineRule="exact" w:line="240" w:before="0" w:after="80"/>
        <w:ind w:hanging="300" w:left="300"/>
        <w:jc w:val="both"/>
        <w:rPr/>
      </w:pPr>
      <w:r>
        <w:rPr>
          <w:rFonts w:eastAsia="Times New Roman" w:cs="Times New Roman"/>
          <w:sz w:val="16"/>
          <w:szCs w:val="16"/>
        </w:rPr>
        <w:t>[9]  C. Senanayake and D. Asanka, “Rubric based automated short answer scoring using large language models (LLMs),” in 2024 International Research Conference on Smart Computing and Systems Engineering (SCSE), vol. 7. IEEE, 2024, pp. 1–6.</w:t>
      </w:r>
    </w:p>
    <w:p>
      <w:pPr>
        <w:pStyle w:val="Normal"/>
        <w:spacing w:lineRule="exact" w:line="240" w:before="0" w:after="80"/>
        <w:ind w:hanging="300" w:left="300"/>
        <w:jc w:val="both"/>
        <w:rPr/>
      </w:pPr>
      <w:r>
        <w:rPr>
          <w:rFonts w:eastAsia="Times New Roman" w:cs="Times New Roman"/>
          <w:sz w:val="16"/>
          <w:szCs w:val="16"/>
        </w:rPr>
        <w:t>[10]  J. Schneider, B. Schenk, and C. Niklaus, “Towards LLM-based autograding for short textual answers,” arXiv preprint arXiv:2309.11508, 2023.</w:t>
      </w:r>
    </w:p>
    <w:p>
      <w:pPr>
        <w:pStyle w:val="Normal"/>
        <w:spacing w:lineRule="exact" w:line="240" w:before="0" w:after="80"/>
        <w:ind w:hanging="300" w:left="300"/>
        <w:jc w:val="both"/>
        <w:rPr/>
      </w:pPr>
      <w:r>
        <w:rPr>
          <w:rFonts w:eastAsia="Times New Roman" w:cs="Times New Roman"/>
          <w:sz w:val="16"/>
          <w:szCs w:val="16"/>
        </w:rPr>
        <w:t>[11]  G. Kortemeyer, “Performance of the pre-trained large language model GPT-4 on automated short answer grading,” Discover Artificial Intelligence, vol. 4, no. 1, Art. no. 47, 2024.</w:t>
      </w:r>
    </w:p>
    <w:p>
      <w:pPr>
        <w:pStyle w:val="Normal"/>
        <w:spacing w:lineRule="exact" w:line="240" w:before="0" w:after="80"/>
        <w:ind w:hanging="300" w:left="300"/>
        <w:jc w:val="both"/>
        <w:rPr/>
      </w:pPr>
      <w:r>
        <w:rPr>
          <w:rFonts w:eastAsia="Times New Roman" w:cs="Times New Roman"/>
          <w:sz w:val="16"/>
          <w:szCs w:val="16"/>
        </w:rPr>
        <w:t>[12]  C. Grévisse, “LLM-based automatic short answer grading in undergraduate medical education,” BMC Medical Education, vol. 24, no. 1, Art. no. 1060, 2024, doi: 10.1186/s12909-024-06026-5.</w:t>
      </w:r>
    </w:p>
    <w:p>
      <w:pPr>
        <w:pStyle w:val="Normal"/>
        <w:spacing w:lineRule="exact" w:line="240" w:before="0" w:after="80"/>
        <w:ind w:hanging="300" w:left="300"/>
        <w:jc w:val="both"/>
        <w:rPr/>
      </w:pPr>
      <w:r>
        <w:rPr>
          <w:rFonts w:eastAsia="Times New Roman" w:cs="Times New Roman"/>
          <w:sz w:val="16"/>
          <w:szCs w:val="16"/>
        </w:rPr>
        <w:t>[13]  G. Kortemeyer, “Toward AI grading of student problem solutions in introductory physics: A feasibility study,” Physical Review Physics Education Research, vol. 19, no. 2, Art. no. 020163, 2023.</w:t>
      </w:r>
    </w:p>
    <w:p>
      <w:pPr>
        <w:pStyle w:val="Normal"/>
        <w:spacing w:lineRule="exact" w:line="240" w:before="0" w:after="80"/>
        <w:ind w:hanging="300" w:left="300"/>
        <w:jc w:val="both"/>
        <w:rPr/>
      </w:pPr>
      <w:r>
        <w:rPr>
          <w:rFonts w:eastAsia="Times New Roman" w:cs="Times New Roman"/>
          <w:sz w:val="16"/>
          <w:szCs w:val="16"/>
        </w:rPr>
        <w:t>[14]  G. Kortemeyer, J. Nöhl, and D. Onishchuk, “Grading assistance for a handwritten thermodynamics exam using artificial intelligence: An exploratory study,” Physical Review Physics Education Research, vol. 20, no. 2, Art. no. 020144, 2024.</w:t>
      </w:r>
    </w:p>
    <w:p>
      <w:pPr>
        <w:pStyle w:val="Normal"/>
        <w:spacing w:lineRule="exact" w:line="240" w:before="0" w:after="80"/>
        <w:ind w:hanging="300" w:left="300"/>
        <w:jc w:val="both"/>
        <w:rPr/>
      </w:pPr>
      <w:r>
        <w:rPr>
          <w:rFonts w:eastAsia="Times New Roman" w:cs="Times New Roman"/>
          <w:sz w:val="16"/>
          <w:szCs w:val="16"/>
        </w:rPr>
        <w:t>[15]  Y. Liu, D. Iter, Y. Xu, S. Wang, R. Xu, and C. Zhu, “G-Eval: NLG evaluation using GPT-4 with better human alignment,” in Proc. 2023 Conf. Empirical Methods in Natural Language Processing (EMNLP), Singapore, Dec. 2023, pp. 2511–2522.</w:t>
      </w:r>
    </w:p>
    <w:p>
      <w:pPr>
        <w:pStyle w:val="Normal"/>
        <w:spacing w:lineRule="exact" w:line="240" w:before="0" w:after="80"/>
        <w:ind w:hanging="300" w:left="300"/>
        <w:jc w:val="both"/>
        <w:rPr/>
      </w:pPr>
      <w:r>
        <w:rPr>
          <w:rFonts w:eastAsia="Times New Roman" w:cs="Times New Roman"/>
          <w:sz w:val="16"/>
          <w:szCs w:val="16"/>
        </w:rPr>
        <w:t>[16]  S. Kim et al., “Prometheus: Inducing fine-grained evaluation capability in language models,” in Int. Conf. Learning Representations (ICLR), 2024.</w:t>
      </w:r>
    </w:p>
    <w:p>
      <w:pPr>
        <w:pStyle w:val="Normal"/>
        <w:spacing w:lineRule="exact" w:line="240" w:before="0" w:after="80"/>
        <w:ind w:hanging="300" w:left="300"/>
        <w:jc w:val="both"/>
        <w:rPr/>
      </w:pPr>
      <w:r>
        <w:rPr>
          <w:rFonts w:eastAsia="Times New Roman" w:cs="Times New Roman"/>
          <w:sz w:val="16"/>
          <w:szCs w:val="16"/>
        </w:rPr>
        <w:t>[17]  S. Kim et al., “Prometheus 2: An open source language model specialized in evaluating other language models,” in Proc. 2024 Conf. Empirical Methods in Natural Language Processing (EMNLP), 2024, pp. 4334–4353.</w:t>
      </w:r>
    </w:p>
    <w:p>
      <w:pPr>
        <w:pStyle w:val="Normal"/>
        <w:spacing w:lineRule="exact" w:line="240" w:before="0" w:after="80"/>
        <w:ind w:hanging="300" w:left="300"/>
        <w:jc w:val="both"/>
        <w:rPr/>
      </w:pPr>
      <w:r>
        <w:rPr>
          <w:rFonts w:eastAsia="Times New Roman" w:cs="Times New Roman"/>
          <w:sz w:val="16"/>
          <w:szCs w:val="16"/>
        </w:rPr>
        <w:t>[18]  C.-H. Chiang and H.-y. Lee, “Can large language models be an alternative to human evaluations?” in Proc. 61st Annu. Meeting Assoc. Computational Linguistics (ACL), Toronto, Canada, Jul. 2023, pp. 15607–15631.</w:t>
      </w:r>
    </w:p>
    <w:p>
      <w:pPr>
        <w:pStyle w:val="Normal"/>
        <w:spacing w:lineRule="exact" w:line="240" w:before="0" w:after="80"/>
        <w:ind w:hanging="300" w:left="300"/>
        <w:jc w:val="both"/>
        <w:rPr/>
      </w:pPr>
      <w:r>
        <w:rPr>
          <w:rFonts w:eastAsia="Times New Roman" w:cs="Times New Roman"/>
          <w:sz w:val="16"/>
          <w:szCs w:val="16"/>
        </w:rPr>
        <w:t>[19]  C. Guo, G. Pleiss, Y. Sun, and K. Q. Weinberger, “On calibration of modern neural networks,” in Proc. 34th Int. Conf. Machine Learning (ICML), PMLR vol. 70, 2017, pp. 1321–1330.</w:t>
      </w:r>
    </w:p>
    <w:p>
      <w:pPr>
        <w:pStyle w:val="Normal"/>
        <w:spacing w:lineRule="exact" w:line="240" w:before="0" w:after="80"/>
        <w:ind w:hanging="300" w:left="300"/>
        <w:jc w:val="both"/>
        <w:rPr/>
      </w:pPr>
      <w:r>
        <w:rPr>
          <w:rFonts w:eastAsia="Times New Roman" w:cs="Times New Roman"/>
          <w:sz w:val="16"/>
          <w:szCs w:val="16"/>
        </w:rPr>
        <w:t>[20]  S. Kadavath et al., “Language models (mostly) know what they know,” arXiv preprint arXiv:2207.05221, 2022.</w:t>
      </w:r>
    </w:p>
    <w:p>
      <w:pPr>
        <w:pStyle w:val="Normal"/>
        <w:spacing w:lineRule="exact" w:line="240" w:before="0" w:after="80"/>
        <w:ind w:hanging="300" w:left="300"/>
        <w:jc w:val="both"/>
        <w:rPr/>
      </w:pPr>
      <w:r>
        <w:rPr>
          <w:rFonts w:eastAsia="Times New Roman" w:cs="Times New Roman"/>
          <w:sz w:val="16"/>
          <w:szCs w:val="16"/>
        </w:rPr>
        <w:t>[21]  K. Tian, E. Mitchell, A. Zhou, A. Sharma, R. Rafailov, H. Yao, C. Finn, and C. D. Manning, “Just ask for calibration: Strategies for eliciting calibrated confidence scores from language models fine-tuned with human feedback,” in Proc. 2023 Conf. Empirical Methods in Natural Language Processing (EMNLP), Singapore, Dec. 2023, pp. 5433–5442.</w:t>
      </w:r>
    </w:p>
    <w:p>
      <w:pPr>
        <w:pStyle w:val="Normal"/>
        <w:spacing w:lineRule="exact" w:line="240" w:before="0" w:after="80"/>
        <w:ind w:hanging="300" w:left="300"/>
        <w:jc w:val="both"/>
        <w:rPr/>
      </w:pPr>
      <w:r>
        <w:rPr>
          <w:rFonts w:eastAsia="Times New Roman" w:cs="Times New Roman"/>
          <w:sz w:val="16"/>
          <w:szCs w:val="16"/>
        </w:rPr>
        <w:t>[22]  M. Xiong, Z. Hu, X. Lu, Y. Li, J. Fu, J. He, and B. Hooi, “Can LLMs express their uncertainty? An empirical evaluation of confidence elicitation in LLMs,” in Int. Conf. Learning Representations (ICLR), Vienna, Austria, May 2024.</w:t>
      </w:r>
    </w:p>
    <w:p>
      <w:pPr>
        <w:pStyle w:val="Normal"/>
        <w:spacing w:lineRule="exact" w:line="240" w:before="0" w:after="80"/>
        <w:ind w:hanging="300" w:left="300"/>
        <w:jc w:val="both"/>
        <w:rPr/>
      </w:pPr>
      <w:r>
        <w:rPr>
          <w:rFonts w:eastAsia="Times New Roman" w:cs="Times New Roman"/>
          <w:sz w:val="16"/>
          <w:szCs w:val="16"/>
        </w:rPr>
        <w:t>[23]  X. Wang, J. Wei, D. Schuurmans, Q. V. Le, E. H. Chi, S. Narang, A. Chowdhery, and D. Zhou, “Self-consistency improves chain of thought reasoning in language models,” in Int. Conf. Learning Representations (ICLR), Kigali, Rwanda, May 2023.</w:t>
      </w:r>
    </w:p>
    <w:p>
      <w:pPr>
        <w:pStyle w:val="Normal"/>
        <w:spacing w:lineRule="exact" w:line="240" w:before="0" w:after="80"/>
        <w:ind w:hanging="300" w:left="300"/>
        <w:jc w:val="both"/>
        <w:rPr/>
      </w:pPr>
      <w:r>
        <w:rPr>
          <w:rFonts w:eastAsia="Times New Roman" w:cs="Times New Roman"/>
          <w:sz w:val="16"/>
          <w:szCs w:val="16"/>
        </w:rPr>
        <w:t>[24]  OpenAI, “gpt-oss-120b &amp; gpt-oss-20b model card,” arXiv preprint arXiv:2508.10925, 2025.</w:t>
      </w:r>
    </w:p>
    <w:p>
      <w:pPr>
        <w:pStyle w:val="Normal"/>
        <w:spacing w:lineRule="exact" w:line="240" w:before="0" w:after="80"/>
        <w:ind w:hanging="300" w:left="300"/>
        <w:jc w:val="both"/>
        <w:rPr/>
      </w:pPr>
      <w:r>
        <w:rPr>
          <w:rFonts w:eastAsia="Times New Roman" w:cs="Times New Roman"/>
          <w:sz w:val="16"/>
          <w:szCs w:val="16"/>
        </w:rPr>
        <w:t>[25]  Qwen Team (A. Yang et al.), “Qwen2.5 technical report,” arXiv preprint arXiv:2412.15115, 2024.</w:t>
      </w:r>
    </w:p>
    <w:p>
      <w:pPr>
        <w:pStyle w:val="Normal"/>
        <w:spacing w:lineRule="exact" w:line="240" w:before="0" w:after="80"/>
        <w:ind w:hanging="300" w:left="300"/>
        <w:jc w:val="both"/>
        <w:rPr/>
      </w:pPr>
      <w:r>
        <w:rPr>
          <w:rFonts w:eastAsia="Times New Roman" w:cs="Times New Roman"/>
          <w:sz w:val="16"/>
          <w:szCs w:val="16"/>
        </w:rPr>
        <w:t>[26]  Dinesh K P, “A dataset of digitized student examination papers, answer keys, and manual evaluations for automated grading research,” Mendeley Data, V1, 2026, doi: 10.17632/sf3kvjwknt.1.</w:t>
      </w:r>
    </w:p>
    <w:p>
      <w:pPr>
        <w:pStyle w:val="Normal"/>
        <w:spacing w:lineRule="exact" w:line="240" w:before="0" w:after="80"/>
        <w:ind w:hanging="300" w:left="300"/>
        <w:jc w:val="both"/>
        <w:rPr/>
      </w:pPr>
      <w:r>
        <w:rPr>
          <w:rFonts w:eastAsia="Times New Roman" w:cs="Times New Roman"/>
          <w:sz w:val="16"/>
          <w:szCs w:val="16"/>
        </w:rPr>
        <w:t>[27]  J. Cohen, “Weighted kappa: Nominal scale agreement with provision for scaled disagreement or partial credit,” Psychological Bulletin, vol. 70, no. 4, pp. 213–220, 1968.</w:t>
      </w:r>
    </w:p>
    <w:sectPr>
      <w:type w:val="continuous"/>
      <w:pgSz w:w="12240" w:h="15840"/>
      <w:pgMar w:left="830" w:right="830" w:gutter="0" w:header="0" w:top="1080" w:footer="0" w:bottom="800"/>
      <w:cols w:num="2" w:space="26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769</Words>
  <Characters>4299</Characters>
  <CharactersWithSpaces>5057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2026-09-28T19:32:19Z</dcterms:created>
  <dc:creator>Un-named</dc:creator>
  <dc:description/>
  <dc:language>en-US</dc:language>
  <cp:lastModifiedBy/>
  <dcterms:modified xsi:type="dcterms:W3CDTF">2026-09-29T08:41:51Z</dcterms:modified>
  <cp:revision>2</cp:revision>
  <dc:subject/>
  <dc:title/>
</cp:coreProperties>
</file>