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4E37" w:rsidRDefault="00000000">
      <w:pPr>
        <w:pStyle w:val="Heading1"/>
        <w:keepNext w:val="0"/>
        <w:keepLines w:val="0"/>
        <w:spacing w:before="480"/>
        <w:rPr>
          <w:b/>
          <w:sz w:val="46"/>
          <w:szCs w:val="46"/>
        </w:rPr>
      </w:pPr>
      <w:bookmarkStart w:id="0" w:name="_3axqv0abtojc" w:colFirst="0" w:colLast="0"/>
      <w:bookmarkEnd w:id="0"/>
      <w:r>
        <w:rPr>
          <w:b/>
          <w:sz w:val="46"/>
          <w:szCs w:val="46"/>
        </w:rPr>
        <w:t>Understanding the response file.</w:t>
      </w:r>
    </w:p>
    <w:p w14:paraId="00000002" w14:textId="77777777" w:rsidR="00034E37" w:rsidRDefault="00000000">
      <w:pPr>
        <w:spacing w:before="240" w:after="240"/>
      </w:pPr>
      <w:r>
        <w:t xml:space="preserve"> </w:t>
      </w:r>
    </w:p>
    <w:p w14:paraId="00000003" w14:textId="77777777" w:rsidR="00034E37" w:rsidRDefault="00000000">
      <w:pPr>
        <w:spacing w:before="240" w:after="240"/>
      </w:pPr>
      <w:r>
        <w:t>Any cell in the response file can have 3 possible values:</w:t>
      </w:r>
    </w:p>
    <w:p w14:paraId="00000004" w14:textId="77777777" w:rsidR="00034E37" w:rsidRDefault="00000000">
      <w:pPr>
        <w:spacing w:before="240" w:after="240"/>
        <w:ind w:left="360"/>
      </w:pPr>
      <w:r>
        <w:t>1.</w:t>
      </w:r>
      <w:r>
        <w:rPr>
          <w:sz w:val="14"/>
          <w:szCs w:val="14"/>
        </w:rPr>
        <w:t xml:space="preserve">   </w:t>
      </w:r>
      <w:r>
        <w:rPr>
          <w:sz w:val="14"/>
          <w:szCs w:val="14"/>
        </w:rPr>
        <w:tab/>
      </w:r>
      <w:r>
        <w:t>The value of the field itself.</w:t>
      </w:r>
    </w:p>
    <w:p w14:paraId="00000005" w14:textId="77777777" w:rsidR="00034E37" w:rsidRDefault="00000000">
      <w:pPr>
        <w:spacing w:before="240" w:after="240"/>
        <w:ind w:left="360"/>
      </w:pPr>
      <w:r>
        <w:t>2.</w:t>
      </w:r>
      <w:r>
        <w:rPr>
          <w:sz w:val="14"/>
          <w:szCs w:val="14"/>
        </w:rPr>
        <w:t xml:space="preserve">   </w:t>
      </w:r>
      <w:r>
        <w:rPr>
          <w:sz w:val="14"/>
          <w:szCs w:val="14"/>
        </w:rPr>
        <w:tab/>
      </w:r>
      <w:r>
        <w:t>“NA”: This means that the given attribute is not applicable to the given cell of a particular row. Hence, ‘NA’.</w:t>
      </w:r>
    </w:p>
    <w:p w14:paraId="00000006" w14:textId="77777777" w:rsidR="00034E37" w:rsidRDefault="00000000">
      <w:pPr>
        <w:spacing w:before="240" w:after="240"/>
        <w:ind w:left="360"/>
      </w:pPr>
      <w:r>
        <w:t>3.</w:t>
      </w:r>
      <w:r>
        <w:rPr>
          <w:sz w:val="14"/>
          <w:szCs w:val="14"/>
        </w:rPr>
        <w:t xml:space="preserve">   </w:t>
      </w:r>
      <w:r>
        <w:rPr>
          <w:sz w:val="14"/>
          <w:szCs w:val="14"/>
        </w:rPr>
        <w:tab/>
      </w:r>
      <w:r>
        <w:t>*blank* or *no value*: This means that the given cell is supposed to have a value for the attribute, but we couldn’t find it in the input file.</w:t>
      </w:r>
    </w:p>
    <w:p w14:paraId="00000007" w14:textId="77777777" w:rsidR="00034E37" w:rsidRDefault="00000000">
      <w:pPr>
        <w:spacing w:before="240" w:after="240"/>
        <w:ind w:left="360"/>
      </w:pPr>
      <w:r>
        <w:t xml:space="preserve"> </w:t>
      </w:r>
    </w:p>
    <w:p w14:paraId="00000008" w14:textId="77777777" w:rsidR="00034E37" w:rsidRDefault="00000000">
      <w:pPr>
        <w:pStyle w:val="Heading2"/>
        <w:keepNext w:val="0"/>
        <w:keepLines w:val="0"/>
        <w:spacing w:after="80"/>
        <w:ind w:left="1800" w:hanging="360"/>
        <w:rPr>
          <w:b/>
          <w:sz w:val="34"/>
          <w:szCs w:val="34"/>
        </w:rPr>
      </w:pPr>
      <w:bookmarkStart w:id="1" w:name="_n3myp4n92lva" w:colFirst="0" w:colLast="0"/>
      <w:bookmarkEnd w:id="1"/>
      <w:r>
        <w:rPr>
          <w:b/>
          <w:sz w:val="34"/>
          <w:szCs w:val="34"/>
        </w:rPr>
        <w:t>·</w:t>
      </w:r>
      <w:r>
        <w:rPr>
          <w:rFonts w:ascii="Times New Roman" w:eastAsia="Times New Roman" w:hAnsi="Times New Roman" w:cs="Times New Roman"/>
          <w:sz w:val="14"/>
          <w:szCs w:val="14"/>
        </w:rPr>
        <w:t xml:space="preserve">        </w:t>
      </w:r>
      <w:r>
        <w:rPr>
          <w:b/>
          <w:sz w:val="34"/>
          <w:szCs w:val="34"/>
        </w:rPr>
        <w:t>Transaction Type</w:t>
      </w:r>
    </w:p>
    <w:p w14:paraId="00000009" w14:textId="77777777" w:rsidR="00034E37" w:rsidRDefault="00000000">
      <w:pPr>
        <w:spacing w:before="240" w:after="240"/>
        <w:ind w:firstLine="720"/>
      </w:pPr>
      <w:r>
        <w:t>There can be 3 possible transaction types:</w:t>
      </w:r>
    </w:p>
    <w:p w14:paraId="0000000A" w14:textId="77777777" w:rsidR="00034E37" w:rsidRDefault="00000000">
      <w:pPr>
        <w:spacing w:before="240" w:after="240"/>
        <w:ind w:left="1440" w:hanging="360"/>
      </w:pPr>
      <w:r>
        <w:t>1.</w:t>
      </w:r>
      <w:r>
        <w:rPr>
          <w:sz w:val="14"/>
          <w:szCs w:val="14"/>
        </w:rPr>
        <w:t xml:space="preserve">   </w:t>
      </w:r>
      <w:r>
        <w:rPr>
          <w:sz w:val="14"/>
          <w:szCs w:val="14"/>
        </w:rPr>
        <w:tab/>
      </w:r>
      <w:r>
        <w:t>“Other”: This transaction type is for the Bank/GST/</w:t>
      </w:r>
      <w:proofErr w:type="spellStart"/>
      <w:r>
        <w:t>etc</w:t>
      </w:r>
      <w:proofErr w:type="spellEnd"/>
      <w:r>
        <w:t xml:space="preserve"> entries.</w:t>
      </w:r>
    </w:p>
    <w:p w14:paraId="0000000B" w14:textId="77777777" w:rsidR="00034E37" w:rsidRDefault="00000000">
      <w:pPr>
        <w:spacing w:before="240" w:after="240"/>
        <w:ind w:left="1440" w:hanging="360"/>
      </w:pPr>
      <w:r>
        <w:t>2.</w:t>
      </w:r>
      <w:r>
        <w:rPr>
          <w:sz w:val="14"/>
          <w:szCs w:val="14"/>
        </w:rPr>
        <w:t xml:space="preserve">   </w:t>
      </w:r>
      <w:r>
        <w:rPr>
          <w:sz w:val="14"/>
          <w:szCs w:val="14"/>
        </w:rPr>
        <w:tab/>
      </w:r>
      <w:r>
        <w:t xml:space="preserve">“Child”: This transaction type occurs when the given entry is a reference. For </w:t>
      </w:r>
      <w:proofErr w:type="gramStart"/>
      <w:r>
        <w:t>e.g.</w:t>
      </w:r>
      <w:proofErr w:type="gramEnd"/>
      <w:r>
        <w:t xml:space="preserve"> </w:t>
      </w:r>
      <w:proofErr w:type="spellStart"/>
      <w:r>
        <w:t>agst</w:t>
      </w:r>
      <w:proofErr w:type="spellEnd"/>
      <w:r>
        <w:t xml:space="preserve"> ref/new ref/</w:t>
      </w:r>
      <w:proofErr w:type="spellStart"/>
      <w:r>
        <w:t>etc</w:t>
      </w:r>
      <w:proofErr w:type="spellEnd"/>
    </w:p>
    <w:p w14:paraId="0000000C" w14:textId="77777777" w:rsidR="00034E37" w:rsidRDefault="00000000">
      <w:pPr>
        <w:spacing w:before="240" w:after="240"/>
        <w:ind w:left="1440" w:hanging="360"/>
      </w:pPr>
      <w:r>
        <w:t>3.</w:t>
      </w:r>
      <w:r>
        <w:rPr>
          <w:sz w:val="14"/>
          <w:szCs w:val="14"/>
        </w:rPr>
        <w:t xml:space="preserve">   </w:t>
      </w:r>
      <w:r>
        <w:rPr>
          <w:sz w:val="14"/>
          <w:szCs w:val="14"/>
        </w:rPr>
        <w:tab/>
      </w:r>
      <w:r>
        <w:t>“Parent”: This is the parent transaction for the above transactions. The voucher number, and voucher type belong to the parent transaction.</w:t>
      </w:r>
    </w:p>
    <w:p w14:paraId="0000000D" w14:textId="77777777" w:rsidR="00034E37" w:rsidRDefault="00000000">
      <w:pPr>
        <w:spacing w:before="240" w:after="240"/>
      </w:pPr>
      <w:r>
        <w:t xml:space="preserve"> </w:t>
      </w:r>
    </w:p>
    <w:p w14:paraId="0000000E" w14:textId="77777777" w:rsidR="00034E37" w:rsidRDefault="00000000">
      <w:pPr>
        <w:pStyle w:val="Heading2"/>
        <w:keepNext w:val="0"/>
        <w:keepLines w:val="0"/>
        <w:spacing w:after="80"/>
        <w:ind w:left="1800" w:hanging="360"/>
        <w:rPr>
          <w:b/>
          <w:sz w:val="34"/>
          <w:szCs w:val="34"/>
        </w:rPr>
      </w:pPr>
      <w:bookmarkStart w:id="2" w:name="_85c9nsr16twf" w:colFirst="0" w:colLast="0"/>
      <w:bookmarkEnd w:id="2"/>
      <w:r>
        <w:rPr>
          <w:b/>
          <w:sz w:val="34"/>
          <w:szCs w:val="34"/>
        </w:rPr>
        <w:t>·</w:t>
      </w:r>
      <w:r>
        <w:rPr>
          <w:rFonts w:ascii="Times New Roman" w:eastAsia="Times New Roman" w:hAnsi="Times New Roman" w:cs="Times New Roman"/>
          <w:sz w:val="14"/>
          <w:szCs w:val="14"/>
        </w:rPr>
        <w:t xml:space="preserve">        </w:t>
      </w:r>
      <w:proofErr w:type="spellStart"/>
      <w:r>
        <w:rPr>
          <w:b/>
          <w:sz w:val="34"/>
          <w:szCs w:val="34"/>
        </w:rPr>
        <w:t>Vch</w:t>
      </w:r>
      <w:proofErr w:type="spellEnd"/>
      <w:r>
        <w:rPr>
          <w:b/>
          <w:sz w:val="34"/>
          <w:szCs w:val="34"/>
        </w:rPr>
        <w:t xml:space="preserve"> No.</w:t>
      </w:r>
    </w:p>
    <w:p w14:paraId="0000000F" w14:textId="77777777" w:rsidR="00034E37" w:rsidRDefault="00000000">
      <w:pPr>
        <w:spacing w:before="240" w:after="240"/>
        <w:ind w:left="720"/>
      </w:pPr>
      <w:r>
        <w:t>This is the voucher number for the given transaction. Voucher number belongs to the Parent transaction. The “Child” and “Other” entries have the same voucher number as their parent.</w:t>
      </w:r>
    </w:p>
    <w:p w14:paraId="00000010" w14:textId="77777777" w:rsidR="00034E37" w:rsidRDefault="00000000">
      <w:pPr>
        <w:spacing w:before="240" w:after="240"/>
        <w:ind w:left="720"/>
      </w:pPr>
      <w:r>
        <w:t xml:space="preserve"> </w:t>
      </w:r>
    </w:p>
    <w:p w14:paraId="00000011" w14:textId="77777777" w:rsidR="00034E37" w:rsidRDefault="00000000">
      <w:pPr>
        <w:pStyle w:val="Heading2"/>
        <w:keepNext w:val="0"/>
        <w:keepLines w:val="0"/>
        <w:spacing w:after="80"/>
        <w:ind w:left="1800" w:hanging="360"/>
        <w:rPr>
          <w:b/>
          <w:sz w:val="34"/>
          <w:szCs w:val="34"/>
        </w:rPr>
      </w:pPr>
      <w:bookmarkStart w:id="3" w:name="_xy98m72es6g6" w:colFirst="0" w:colLast="0"/>
      <w:bookmarkEnd w:id="3"/>
      <w:r>
        <w:rPr>
          <w:b/>
          <w:sz w:val="34"/>
          <w:szCs w:val="34"/>
        </w:rPr>
        <w:t>·</w:t>
      </w:r>
      <w:r>
        <w:rPr>
          <w:rFonts w:ascii="Times New Roman" w:eastAsia="Times New Roman" w:hAnsi="Times New Roman" w:cs="Times New Roman"/>
          <w:sz w:val="14"/>
          <w:szCs w:val="14"/>
        </w:rPr>
        <w:t xml:space="preserve">        </w:t>
      </w:r>
      <w:r>
        <w:rPr>
          <w:b/>
          <w:sz w:val="34"/>
          <w:szCs w:val="34"/>
        </w:rPr>
        <w:t>Ref No.</w:t>
      </w:r>
    </w:p>
    <w:p w14:paraId="00000012" w14:textId="77777777" w:rsidR="00034E37" w:rsidRDefault="00000000">
      <w:pPr>
        <w:spacing w:before="240" w:after="240"/>
        <w:ind w:left="720"/>
      </w:pPr>
      <w:r>
        <w:t>Reference number. Applicable only if “Transaction Type” is Child”. It is “NA” for transaction types “Parent” and “Other”. An ID to identify the reference by.</w:t>
      </w:r>
    </w:p>
    <w:p w14:paraId="00000013" w14:textId="77777777" w:rsidR="00034E37" w:rsidRDefault="00000000">
      <w:pPr>
        <w:spacing w:before="240" w:after="240"/>
        <w:ind w:left="720"/>
      </w:pPr>
      <w:r>
        <w:t xml:space="preserve"> </w:t>
      </w:r>
    </w:p>
    <w:p w14:paraId="00000014" w14:textId="77777777" w:rsidR="00034E37" w:rsidRDefault="00000000">
      <w:pPr>
        <w:pStyle w:val="Heading2"/>
        <w:keepNext w:val="0"/>
        <w:keepLines w:val="0"/>
        <w:spacing w:after="80"/>
        <w:ind w:left="1800" w:hanging="360"/>
        <w:rPr>
          <w:b/>
          <w:sz w:val="34"/>
          <w:szCs w:val="34"/>
        </w:rPr>
      </w:pPr>
      <w:bookmarkStart w:id="4" w:name="_upnkkrw5vc16" w:colFirst="0" w:colLast="0"/>
      <w:bookmarkEnd w:id="4"/>
      <w:r>
        <w:rPr>
          <w:b/>
          <w:sz w:val="34"/>
          <w:szCs w:val="34"/>
        </w:rPr>
        <w:t>·</w:t>
      </w:r>
      <w:r>
        <w:rPr>
          <w:rFonts w:ascii="Times New Roman" w:eastAsia="Times New Roman" w:hAnsi="Times New Roman" w:cs="Times New Roman"/>
          <w:sz w:val="14"/>
          <w:szCs w:val="14"/>
        </w:rPr>
        <w:t xml:space="preserve">        </w:t>
      </w:r>
      <w:r>
        <w:rPr>
          <w:b/>
          <w:sz w:val="34"/>
          <w:szCs w:val="34"/>
        </w:rPr>
        <w:t>Ref Type</w:t>
      </w:r>
    </w:p>
    <w:p w14:paraId="00000015" w14:textId="77777777" w:rsidR="00034E37" w:rsidRDefault="00000000">
      <w:pPr>
        <w:spacing w:before="240" w:after="240"/>
        <w:ind w:left="720"/>
      </w:pPr>
      <w:r>
        <w:lastRenderedPageBreak/>
        <w:t xml:space="preserve">Type of the reference. </w:t>
      </w:r>
      <w:proofErr w:type="gramStart"/>
      <w:r>
        <w:t>E.g.</w:t>
      </w:r>
      <w:proofErr w:type="gramEnd"/>
      <w:r>
        <w:t xml:space="preserve"> </w:t>
      </w:r>
      <w:proofErr w:type="spellStart"/>
      <w:r>
        <w:t>Agst</w:t>
      </w:r>
      <w:proofErr w:type="spellEnd"/>
      <w:r>
        <w:t xml:space="preserve"> Ref/New Ref, etc. Applicable only if “Transaction Type” is “Child”. It is “NA” for transaction types “Parent” and “Other”.</w:t>
      </w:r>
    </w:p>
    <w:p w14:paraId="00000016" w14:textId="77777777" w:rsidR="00034E37" w:rsidRDefault="00000000">
      <w:pPr>
        <w:spacing w:before="240" w:after="240"/>
        <w:ind w:left="720"/>
      </w:pPr>
      <w:r>
        <w:t xml:space="preserve"> </w:t>
      </w:r>
    </w:p>
    <w:p w14:paraId="00000017" w14:textId="77777777" w:rsidR="00034E37" w:rsidRDefault="00000000">
      <w:pPr>
        <w:pStyle w:val="Heading2"/>
        <w:keepNext w:val="0"/>
        <w:keepLines w:val="0"/>
        <w:spacing w:after="80"/>
        <w:ind w:left="1800" w:hanging="360"/>
        <w:rPr>
          <w:b/>
          <w:sz w:val="34"/>
          <w:szCs w:val="34"/>
        </w:rPr>
      </w:pPr>
      <w:bookmarkStart w:id="5" w:name="_lqq5bpjvif06" w:colFirst="0" w:colLast="0"/>
      <w:bookmarkEnd w:id="5"/>
      <w:r>
        <w:rPr>
          <w:b/>
          <w:sz w:val="34"/>
          <w:szCs w:val="34"/>
        </w:rPr>
        <w:t>·</w:t>
      </w:r>
      <w:r>
        <w:rPr>
          <w:rFonts w:ascii="Times New Roman" w:eastAsia="Times New Roman" w:hAnsi="Times New Roman" w:cs="Times New Roman"/>
          <w:sz w:val="14"/>
          <w:szCs w:val="14"/>
        </w:rPr>
        <w:t xml:space="preserve">        </w:t>
      </w:r>
      <w:r>
        <w:rPr>
          <w:b/>
          <w:sz w:val="34"/>
          <w:szCs w:val="34"/>
        </w:rPr>
        <w:t>Ref Date</w:t>
      </w:r>
    </w:p>
    <w:p w14:paraId="00000018" w14:textId="77777777" w:rsidR="00034E37" w:rsidRDefault="00000000">
      <w:pPr>
        <w:spacing w:before="240" w:after="240"/>
        <w:ind w:left="720"/>
      </w:pPr>
      <w:r>
        <w:t>Reference date. Applicable only if “Transaction Type” is “Child”. It is “NA” for transaction types “Parent” and “Other”. This can be different than the one found in “Date” column. Date of the reference transaction in question.</w:t>
      </w:r>
    </w:p>
    <w:p w14:paraId="00000019" w14:textId="77777777" w:rsidR="00034E37" w:rsidRDefault="00000000">
      <w:pPr>
        <w:spacing w:before="240" w:after="240"/>
        <w:ind w:left="720"/>
      </w:pPr>
      <w:r>
        <w:t xml:space="preserve"> </w:t>
      </w:r>
    </w:p>
    <w:p w14:paraId="0000001A" w14:textId="77777777" w:rsidR="00034E37" w:rsidRDefault="00000000">
      <w:pPr>
        <w:pStyle w:val="Heading2"/>
        <w:keepNext w:val="0"/>
        <w:keepLines w:val="0"/>
        <w:spacing w:after="80"/>
        <w:ind w:left="1800" w:hanging="360"/>
        <w:rPr>
          <w:b/>
          <w:sz w:val="34"/>
          <w:szCs w:val="34"/>
        </w:rPr>
      </w:pPr>
      <w:bookmarkStart w:id="6" w:name="_5as5ievy8s0c" w:colFirst="0" w:colLast="0"/>
      <w:bookmarkEnd w:id="6"/>
      <w:r>
        <w:rPr>
          <w:b/>
          <w:sz w:val="34"/>
          <w:szCs w:val="34"/>
        </w:rPr>
        <w:t>·</w:t>
      </w:r>
      <w:r>
        <w:rPr>
          <w:rFonts w:ascii="Times New Roman" w:eastAsia="Times New Roman" w:hAnsi="Times New Roman" w:cs="Times New Roman"/>
          <w:sz w:val="14"/>
          <w:szCs w:val="14"/>
        </w:rPr>
        <w:t xml:space="preserve">        </w:t>
      </w:r>
      <w:r>
        <w:rPr>
          <w:b/>
          <w:sz w:val="34"/>
          <w:szCs w:val="34"/>
        </w:rPr>
        <w:t>Debtor and Particulars</w:t>
      </w:r>
    </w:p>
    <w:p w14:paraId="0000001B" w14:textId="77777777" w:rsidR="00034E37" w:rsidRDefault="00000000">
      <w:pPr>
        <w:spacing w:before="240" w:after="240"/>
        <w:ind w:left="720"/>
      </w:pPr>
      <w:r>
        <w:t>Party Name for transaction type “Parent”. Ledger name for transaction types “Child” and “Other”.</w:t>
      </w:r>
    </w:p>
    <w:p w14:paraId="0000001C" w14:textId="77777777" w:rsidR="00034E37" w:rsidRDefault="00000000">
      <w:pPr>
        <w:spacing w:before="240" w:after="240"/>
        <w:ind w:left="720"/>
      </w:pPr>
      <w:r>
        <w:t xml:space="preserve"> </w:t>
      </w:r>
    </w:p>
    <w:p w14:paraId="0000001D" w14:textId="77777777" w:rsidR="00034E37" w:rsidRDefault="00000000">
      <w:pPr>
        <w:pStyle w:val="Heading2"/>
        <w:keepNext w:val="0"/>
        <w:keepLines w:val="0"/>
        <w:spacing w:after="80"/>
        <w:ind w:left="1800" w:hanging="360"/>
        <w:rPr>
          <w:b/>
          <w:sz w:val="34"/>
          <w:szCs w:val="34"/>
        </w:rPr>
      </w:pPr>
      <w:bookmarkStart w:id="7" w:name="_lsf4i62nl2i4" w:colFirst="0" w:colLast="0"/>
      <w:bookmarkEnd w:id="7"/>
      <w:r>
        <w:rPr>
          <w:b/>
          <w:sz w:val="34"/>
          <w:szCs w:val="34"/>
        </w:rPr>
        <w:t>·</w:t>
      </w:r>
      <w:r>
        <w:rPr>
          <w:rFonts w:ascii="Times New Roman" w:eastAsia="Times New Roman" w:hAnsi="Times New Roman" w:cs="Times New Roman"/>
          <w:sz w:val="14"/>
          <w:szCs w:val="14"/>
        </w:rPr>
        <w:t xml:space="preserve">        </w:t>
      </w:r>
      <w:r>
        <w:rPr>
          <w:b/>
          <w:sz w:val="34"/>
          <w:szCs w:val="34"/>
        </w:rPr>
        <w:t>Ref Amount</w:t>
      </w:r>
    </w:p>
    <w:p w14:paraId="0000001E" w14:textId="77777777" w:rsidR="00034E37" w:rsidRDefault="00000000">
      <w:pPr>
        <w:spacing w:before="240" w:after="240"/>
        <w:ind w:left="720"/>
      </w:pPr>
      <w:r>
        <w:t>The amount that is exchanged in reference transactions. Applicable only if “Transaction Type” is “Child”. It is “NA” for transaction types “Parent” and “Other”.</w:t>
      </w:r>
    </w:p>
    <w:p w14:paraId="0000001F" w14:textId="77777777" w:rsidR="00034E37" w:rsidRDefault="00000000">
      <w:pPr>
        <w:spacing w:before="240" w:after="240"/>
        <w:ind w:left="720"/>
      </w:pPr>
      <w:r>
        <w:t xml:space="preserve"> </w:t>
      </w:r>
    </w:p>
    <w:p w14:paraId="00000020" w14:textId="77777777" w:rsidR="00034E37" w:rsidRDefault="00000000">
      <w:pPr>
        <w:pStyle w:val="Heading2"/>
        <w:keepNext w:val="0"/>
        <w:keepLines w:val="0"/>
        <w:spacing w:after="80"/>
        <w:ind w:left="1800" w:hanging="360"/>
        <w:rPr>
          <w:b/>
          <w:sz w:val="34"/>
          <w:szCs w:val="34"/>
        </w:rPr>
      </w:pPr>
      <w:bookmarkStart w:id="8" w:name="_xoyj737o34ur" w:colFirst="0" w:colLast="0"/>
      <w:bookmarkEnd w:id="8"/>
      <w:r>
        <w:rPr>
          <w:b/>
          <w:sz w:val="34"/>
          <w:szCs w:val="34"/>
        </w:rPr>
        <w:t>·</w:t>
      </w:r>
      <w:r>
        <w:rPr>
          <w:rFonts w:ascii="Times New Roman" w:eastAsia="Times New Roman" w:hAnsi="Times New Roman" w:cs="Times New Roman"/>
          <w:sz w:val="14"/>
          <w:szCs w:val="14"/>
        </w:rPr>
        <w:t xml:space="preserve">        </w:t>
      </w:r>
      <w:r>
        <w:rPr>
          <w:b/>
          <w:sz w:val="34"/>
          <w:szCs w:val="34"/>
        </w:rPr>
        <w:t>Amount</w:t>
      </w:r>
    </w:p>
    <w:p w14:paraId="00000021" w14:textId="77777777" w:rsidR="00034E37" w:rsidRDefault="00000000">
      <w:pPr>
        <w:spacing w:before="240" w:after="240"/>
        <w:ind w:left="720"/>
      </w:pPr>
      <w:r>
        <w:t>If transaction type is “Parent”, Amount column holds the value of total amount transacted by all “Child” references. If the transaction type is “Other”, it holds the value of the amount exchanged by the current sub-transaction. Applicable only to Transaction types “Parent” and “Other”; it is “NA” for transaction type “Child”.</w:t>
      </w:r>
    </w:p>
    <w:p w14:paraId="00000022" w14:textId="77777777" w:rsidR="00034E37" w:rsidRDefault="00000000">
      <w:pPr>
        <w:spacing w:before="240" w:after="240"/>
        <w:ind w:left="720"/>
      </w:pPr>
      <w:r>
        <w:t xml:space="preserve"> </w:t>
      </w:r>
    </w:p>
    <w:p w14:paraId="00000023" w14:textId="77777777" w:rsidR="00034E37" w:rsidRDefault="00000000">
      <w:pPr>
        <w:pStyle w:val="Heading2"/>
        <w:keepNext w:val="0"/>
        <w:keepLines w:val="0"/>
        <w:spacing w:after="80"/>
        <w:ind w:left="1800" w:hanging="360"/>
        <w:rPr>
          <w:b/>
          <w:sz w:val="34"/>
          <w:szCs w:val="34"/>
        </w:rPr>
      </w:pPr>
      <w:bookmarkStart w:id="9" w:name="_m5l8qxk62c3j" w:colFirst="0" w:colLast="0"/>
      <w:bookmarkEnd w:id="9"/>
      <w:r>
        <w:rPr>
          <w:b/>
          <w:sz w:val="34"/>
          <w:szCs w:val="34"/>
        </w:rPr>
        <w:t>·</w:t>
      </w:r>
      <w:r>
        <w:rPr>
          <w:rFonts w:ascii="Times New Roman" w:eastAsia="Times New Roman" w:hAnsi="Times New Roman" w:cs="Times New Roman"/>
          <w:sz w:val="14"/>
          <w:szCs w:val="14"/>
        </w:rPr>
        <w:t xml:space="preserve">        </w:t>
      </w:r>
      <w:r>
        <w:rPr>
          <w:b/>
          <w:sz w:val="34"/>
          <w:szCs w:val="34"/>
        </w:rPr>
        <w:t>Amount Verified</w:t>
      </w:r>
    </w:p>
    <w:p w14:paraId="00000024" w14:textId="77777777" w:rsidR="00034E37" w:rsidRDefault="00000000">
      <w:pPr>
        <w:spacing w:before="240" w:after="240"/>
        <w:ind w:left="720"/>
      </w:pPr>
      <w:r>
        <w:t xml:space="preserve">Applicable only to transaction type “Parent”. It is “Yes” if the sum of “Ref amount” of each of the parent’s child transaction is equal to the “Amount” mentioned in the input file. If it doesn’t, the value is “No”. Sometimes there can be no value in this column for a particular transaction based depending on whether it has “Child” transactions or not. </w:t>
      </w:r>
    </w:p>
    <w:p w14:paraId="00000025" w14:textId="77777777" w:rsidR="00034E37" w:rsidRDefault="00034E37"/>
    <w:sectPr w:rsidR="00034E37" w:rsidSect="002C009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37"/>
    <w:rsid w:val="00034E37"/>
    <w:rsid w:val="002C0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8F73D-D6CC-45F3-9DA0-1F86D724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Shashank</cp:lastModifiedBy>
  <cp:revision>2</cp:revision>
  <dcterms:created xsi:type="dcterms:W3CDTF">2023-02-15T12:00:00Z</dcterms:created>
  <dcterms:modified xsi:type="dcterms:W3CDTF">2023-02-15T12:00:00Z</dcterms:modified>
</cp:coreProperties>
</file>