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40"/>
        </w:rPr>
        <w:t>PANDUAN PENGGUNAAN APLIKASI</w:t>
        <w:br/>
        <w:t>E-RETRIBUSI PUSKESMAS</w:t>
      </w:r>
    </w:p>
    <w:p>
      <w:pPr>
        <w:jc w:val="center"/>
      </w:pPr>
      <w:r>
        <w:rPr>
          <w:color w:val="595959"/>
          <w:sz w:val="24"/>
        </w:rPr>
        <w:t>Panduan Operasional untuk Kasir Loket</w:t>
        <w:br/>
        <w:t>Bank Jateng H2H Integration</w:t>
      </w:r>
    </w:p>
    <w:p/>
    <w:p>
      <w:pPr>
        <w:jc w:val="center"/>
      </w:pPr>
      <w:r>
        <w:rPr>
          <w:b/>
          <w:sz w:val="22"/>
        </w:rPr>
        <w:t>Versi 1.0 - Agustus 2026</w:t>
      </w:r>
    </w:p>
    <w:p>
      <w:r>
        <w:br w:type="page"/>
      </w:r>
    </w:p>
    <w:p>
      <w:pPr>
        <w:pStyle w:val="Heading1"/>
      </w:pPr>
      <w:r>
        <w:t>1. Persiapan</w:t>
      </w:r>
    </w:p>
    <w:p>
      <w:r>
        <w:t>Buka URL aplikasi, login menggunakan akun kasir, dan pastikan koneksi internet stabil untuk akses API QRIS.</w:t>
      </w:r>
    </w:p>
    <w:p>
      <w:pPr>
        <w:pStyle w:val="Heading1"/>
      </w:pPr>
      <w:r>
        <w:t>2. Pencatatan Transaksi (Tagihan)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r>
              <w:rPr>
                <w:b/>
                <w:color w:val="FFFFFF"/>
              </w:rPr>
              <w:t>Langkah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b/>
                <w:color w:val="FFFFFF"/>
              </w:rPr>
              <w:t>Aksi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Menu E-Retribusi → Transaksi → Tambah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Tampil form input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Isi No. Rekam Medik (No RM)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Data pasien auto-fill otomatis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Pilih Puskesmas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Otomatis terisi sesuai akun kasir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Pilih Layanan &amp; Volume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Tarif diambil dari master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Klik SIMPAN &amp; PROSES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Status menjadi "pending"</w:t>
            </w:r>
          </w:p>
        </w:tc>
      </w:tr>
    </w:tbl>
    <w:p>
      <w:pPr>
        <w:pStyle w:val="Heading1"/>
      </w:pPr>
      <w:r>
        <w:t>3. Generate Billing (ID Billing)</w:t>
      </w:r>
    </w:p>
    <w:p>
      <w:r>
        <w:t>Halaman konfirmasi muncul otomatis. Klik "Generate Billing" untuk membuat ID Billing resmi dari sistem billing center. Setelah berhasil, Anda akan diarahkan ke halaman QRIS.</w:t>
      </w:r>
    </w:p>
    <w:p>
      <w:pPr>
        <w:pStyle w:val="Heading1"/>
      </w:pPr>
      <w:r>
        <w:t>4. QRIS – Link Pembayaran</w:t>
      </w:r>
    </w:p>
    <w:p>
      <w:r>
        <w:t>Link QRIS digenerate menggunakan No RM pasien via BIMAQR API. Link ini berlaku selama 5 menit. Jika kadaluarsa, klik "Refresh Link QRIS".</w:t>
      </w:r>
    </w:p>
    <w:p>
      <w:pPr>
        <w:pStyle w:val="Heading1"/>
      </w:pPr>
      <w:r>
        <w:t>5. Penyelesaian &amp; Cetak Struk</w:t>
      </w:r>
    </w:p>
    <w:p>
      <w:r>
        <w:t>Pasien membayar melalui ATM/Mobile Banking. Setelah status menjadi "paid", klik "Cetak Struk (80mm)" untuk mencetak bukti fisik menggunakan printer thermal.</w:t>
      </w:r>
    </w:p>
    <w:p>
      <w:pPr>
        <w:pStyle w:val="Heading1"/>
      </w:pPr>
      <w:r>
        <w:t>6. Penanganan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</w:tcPr>
          <w:p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b/>
                <w:color w:val="FFFFFF"/>
              </w:rPr>
              <w:t>Situasi</w:t>
            </w:r>
          </w:p>
        </w:tc>
        <w:tc>
          <w:tcPr>
            <w:tcW w:type="dxa" w:w="3324"/>
            <w:shd w:fill="1F4E79" w:val="clear"/>
          </w:tcPr>
          <w:p>
            <w:r>
              <w:rPr>
                <w:b/>
                <w:color w:val="FFFFFF"/>
              </w:rPr>
              <w:t>Tindakan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No RM tidak ditemukan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Cek kembali input No RM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02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Tidak ada tagihan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Cek apakah sudah lunas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Token Expired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sz w:val="20"/>
              </w:rPr>
              <w:t>Refresh halaman / login ulang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