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Core Expertise Areas &amp; Technical Capabilities</w:t>
      </w:r>
    </w:p>
    <w:p/>
    <w:p>
      <w:pPr>
        <w:pStyle w:val="Heading1"/>
      </w:pPr>
      <w:r>
        <w:t>1. Multilingual AI &amp; Natural Language Processing (NLP)</w:t>
      </w:r>
    </w:p>
    <w:p>
      <w:pPr>
        <w:pStyle w:val="ListBullet"/>
      </w:pPr>
      <w:r>
        <w:t>Speech-to-Text (ASR): Expertise in deploying OpenAI Whisper optimized for regional Indian dialects and accented speech.</w:t>
      </w:r>
    </w:p>
    <w:p>
      <w:pPr>
        <w:pStyle w:val="ListBullet"/>
      </w:pPr>
      <w:r>
        <w:t>Semantic Intelligence: Deep proficiency in using Sentence-Transformers and Zero-Shot (BART) models for intent-based navigation and partner matching.</w:t>
      </w:r>
    </w:p>
    <w:p>
      <w:pPr>
        <w:pStyle w:val="ListBullet"/>
      </w:pPr>
      <w:r>
        <w:t>Regional Entity Mapping: Advanced capability in normalizing Indic language transcripts into standardized industrial taxonomies (ONDC/MSME).</w:t>
      </w:r>
    </w:p>
    <w:p>
      <w:pPr>
        <w:pStyle w:val="Heading1"/>
      </w:pPr>
      <w:r>
        <w:t>2. Computer Vision &amp; Document Intelligence</w:t>
      </w:r>
    </w:p>
    <w:p>
      <w:pPr>
        <w:pStyle w:val="ListBullet"/>
      </w:pPr>
      <w:r>
        <w:t>OCR-Free Document QA: Specialized knowledge in using Vision Transformers (Donut) for direct end-to-end data extraction from business certificates.</w:t>
      </w:r>
    </w:p>
    <w:p>
      <w:pPr>
        <w:pStyle w:val="ListBullet"/>
      </w:pPr>
      <w:r>
        <w:t>Automated Compliance: Expertise in building secure verification pipelines for Aadhaar, PAN, and Udyam certification with high precision.</w:t>
      </w:r>
    </w:p>
    <w:p>
      <w:pPr>
        <w:pStyle w:val="Heading1"/>
      </w:pPr>
      <w:r>
        <w:t>3. High-Performance AI Orchestration</w:t>
      </w:r>
    </w:p>
    <w:p>
      <w:pPr>
        <w:pStyle w:val="ListBullet"/>
      </w:pPr>
      <w:r>
        <w:t>Resource-Aware Deployment: Mastery of lazy-loading and model-on-demand architectures to minimize cloud infrastructure costs.</w:t>
      </w:r>
    </w:p>
    <w:p>
      <w:pPr>
        <w:pStyle w:val="ListBullet"/>
      </w:pPr>
      <w:r>
        <w:t>Hybrid Engine Design: Unique ability to blend probabilistic AI outputs with deterministic rule-based triggers for 100% reliability in critical workflows.</w:t>
      </w:r>
    </w:p>
    <w:p>
      <w:pPr>
        <w:pStyle w:val="Heading1"/>
      </w:pPr>
      <w:r>
        <w:t>4. Scalable Digital Public Good Engineering</w:t>
      </w:r>
    </w:p>
    <w:p>
      <w:pPr>
        <w:pStyle w:val="ListBullet"/>
      </w:pPr>
      <w:r>
        <w:t>API Ecosystems: Expert-level Python/FastAPI development for low-latency, ONDC-compliant backend services.</w:t>
      </w:r>
    </w:p>
    <w:p>
      <w:pPr>
        <w:pStyle w:val="ListBullet"/>
      </w:pPr>
      <w:r>
        <w:t>Inclusive UI/UX: Advanced frontend development (React/TS) focused on voice-driven accessibility and resilient offline data persistence.</w:t>
      </w:r>
    </w:p>
    <w:p>
      <w:pPr>
        <w:pStyle w:val="ListBullet"/>
      </w:pPr>
      <w:r>
        <w:t>Native Browser Integration: Proficiency in Web Audio API for real-time, client-side PCM audio encoding.</w:t>
      </w:r>
    </w:p>
    <w:p/>
    <w:p>
      <w:r>
        <w:t>---</w:t>
      </w:r>
    </w:p>
    <w:p>
      <w:r>
        <w:t>This core expertise base ensures that the solution is not only technically advanced but also practically viable for national-scale deployment across Bharat.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