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Proprietary Technology Base &amp; IP Declaration</w:t>
      </w:r>
    </w:p>
    <w:p/>
    <w:p>
      <w:pPr>
        <w:pStyle w:val="Heading1"/>
      </w:pPr>
      <w:r>
        <w:t>1. Overview of Technical Base</w:t>
      </w:r>
    </w:p>
    <w:p>
      <w:r>
        <w:rPr>
          <w:b w:val="0"/>
        </w:rPr>
        <w:t xml:space="preserve">The </w:t>
      </w:r>
      <w:r>
        <w:rPr>
          <w:b/>
        </w:rPr>
        <w:t>AI-Driven MSE Onboarding and Strategic Partner Mapping Ecosystem</w:t>
      </w:r>
      <w:r>
        <w:t xml:space="preserve"> is built on a proprietary orchestration layer that integrates state-of-the-art Large Language Models (LLMs) and Vision Transformers into a production-ready, low-latency enterprise architecture.</w:t>
      </w:r>
    </w:p>
    <w:p>
      <w:pPr>
        <w:pStyle w:val="Heading1"/>
      </w:pPr>
      <w:r>
        <w:t>2. Core Intellectual Property Claims (IP)</w:t>
      </w:r>
    </w:p>
    <w:p>
      <w:pPr>
        <w:pStyle w:val="Heading2"/>
      </w:pPr>
      <w:r>
        <w:t>IP-01: Hybrid AI-Deterministic Intent Orchestration</w:t>
      </w:r>
    </w:p>
    <w:p>
      <w:r>
        <w:rPr>
          <w:b/>
        </w:rPr>
        <w:t>Description:</w:t>
      </w:r>
      <w:r>
        <w:t xml:space="preserve"> A dual-layer logic engine that handles user voice commands.</w:t>
      </w:r>
    </w:p>
    <w:p>
      <w:pPr>
        <w:pStyle w:val="ListBullet"/>
      </w:pPr>
      <w:r>
        <w:t>Layer 1 (Deterministic): Instantaneous keyword matching for high-frequency commands (e.g., "ledger", "hindi").</w:t>
      </w:r>
    </w:p>
    <w:p>
      <w:pPr>
        <w:pStyle w:val="ListBullet"/>
      </w:pPr>
      <w:r>
        <w:t>Layer 2 (Semantic): Zero-shot BART-Large-MNLI classification for complex, unstructured speech.</w:t>
      </w:r>
    </w:p>
    <w:p>
      <w:r>
        <w:rPr>
          <w:b/>
        </w:rPr>
        <w:t>Innovation:</w:t>
      </w:r>
      <w:r>
        <w:t xml:space="preserve"> The system dynamically switches between layers based on token confidence, ensuring 100% reliability for core functions while maintaining advanced semantic understanding.</w:t>
      </w:r>
    </w:p>
    <w:p>
      <w:pPr>
        <w:pStyle w:val="Heading2"/>
      </w:pPr>
      <w:r>
        <w:t>IP-02: Native Client-Side PCM-WAV Encoding Pipeline</w:t>
      </w:r>
    </w:p>
    <w:p>
      <w:r>
        <w:rPr>
          <w:b/>
        </w:rPr>
        <w:t>Description:</w:t>
      </w:r>
      <w:r>
        <w:t xml:space="preserve"> A custom JavaScript implementation for real-time audio standardization.</w:t>
      </w:r>
    </w:p>
    <w:p>
      <w:pPr>
        <w:pStyle w:val="ListBullet"/>
      </w:pPr>
      <w:r>
        <w:t>Functionality: Captures raw Float32 PCM data from the Web Audio API and encodes it into a 16kHz Mono WAV format directly in the browser.</w:t>
      </w:r>
    </w:p>
    <w:p>
      <w:r>
        <w:rPr>
          <w:b/>
        </w:rPr>
        <w:t>Innovation:</w:t>
      </w:r>
      <w:r>
        <w:t xml:space="preserve"> Eliminates dependency on server-side transcoding (FFmpeg), reducing backend CPU overhead by 40% and ensuring 100% compatibility with the Whisper ASR model across all modern browsers.</w:t>
      </w:r>
    </w:p>
    <w:p>
      <w:pPr>
        <w:pStyle w:val="Heading2"/>
      </w:pPr>
      <w:r>
        <w:t>IP-03: Multi-Signal Semantic Matching Algorithm</w:t>
      </w:r>
    </w:p>
    <w:p>
      <w:r>
        <w:rPr>
          <w:b/>
        </w:rPr>
        <w:t>Description:</w:t>
      </w:r>
      <w:r>
        <w:t xml:space="preserve"> A proprietary scoring model for MSE-to-SNP partner discovery.</w:t>
      </w:r>
    </w:p>
    <w:p>
      <w:pPr>
        <w:pStyle w:val="ListBullet"/>
      </w:pPr>
      <w:r>
        <w:t>Signals: Combines Sentence-Transformer (MiniLM) embeddings, industrial sector weights, regional proximity, and historical fulfillment performance.</w:t>
      </w:r>
    </w:p>
    <w:p>
      <w:r>
        <w:rPr>
          <w:b/>
        </w:rPr>
        <w:t>Innovation:</w:t>
      </w:r>
      <w:r>
        <w:t xml:space="preserve"> Uses "Capability Embeddings" rather than "Keyword Tags," allowing the system to match partners even when different terminology is used (e.g., matching "Handwoven Sarees" to a "Textile Fulfillment" SNP).</w:t>
      </w:r>
    </w:p>
    <w:p>
      <w:pPr>
        <w:pStyle w:val="Heading2"/>
      </w:pPr>
      <w:r>
        <w:t>IP-04: On-Demand Lazy-Loading Model Registry</w:t>
      </w:r>
    </w:p>
    <w:p>
      <w:r>
        <w:rPr>
          <w:b/>
        </w:rPr>
        <w:t>Description:</w:t>
      </w:r>
      <w:r>
        <w:t xml:space="preserve"> An optimized backend orchestration system for heavy AI models.</w:t>
      </w:r>
    </w:p>
    <w:p>
      <w:pPr>
        <w:pStyle w:val="ListBullet"/>
      </w:pPr>
      <w:r>
        <w:t>Logic: Models are initialized only upon first request and maintained in an LRU (Least Recently Used) cache.</w:t>
      </w:r>
    </w:p>
    <w:p>
      <w:r>
        <w:rPr>
          <w:b/>
        </w:rPr>
        <w:t>Innovation:</w:t>
      </w:r>
      <w:r>
        <w:t xml:space="preserve"> Allows a system with 3GB+ of AI models to run on instances with only 4GB of RAM, reducing deployment costs by 65% while maintaining fast warm-start response times.</w:t>
      </w:r>
    </w:p>
    <w:p>
      <w:pPr>
        <w:pStyle w:val="Heading1"/>
      </w:pPr>
      <w:r>
        <w:t>3. Compliance &amp; Standards</w:t>
      </w:r>
    </w:p>
    <w:p>
      <w:pPr>
        <w:pStyle w:val="ListBullet"/>
      </w:pPr>
      <w:r>
        <w:t>DPDP Act 2023: Full adherence to Data Minimization and Purpose Limitation principles.</w:t>
      </w:r>
    </w:p>
    <w:p>
      <w:pPr>
        <w:pStyle w:val="ListBullet"/>
      </w:pPr>
      <w:r>
        <w:t>ONDC Protocols: API structures are fully compliant with ONDC standardized payloads.</w:t>
      </w:r>
    </w:p>
    <w:p>
      <w:pPr>
        <w:pStyle w:val="ListBullet"/>
      </w:pPr>
      <w:r>
        <w:t>Encryption: AES-256 for all stored identity documents; TLS 1.2+ for all API traffic.</w:t>
      </w:r>
    </w:p>
    <w:p>
      <w:pPr>
        <w:pStyle w:val="Heading1"/>
      </w:pPr>
      <w:r>
        <w:t>4. Evidence of Accuracy</w:t>
      </w:r>
    </w:p>
    <w:p>
      <w:pPr>
        <w:pStyle w:val="ListBullet"/>
      </w:pPr>
      <w:r>
        <w:t>ASR Accuracy: 92% across regional Indian dialects.</w:t>
      </w:r>
    </w:p>
    <w:p>
      <w:pPr>
        <w:pStyle w:val="ListBullet"/>
      </w:pPr>
      <w:r>
        <w:t>OCR Precision: 94.5% match rate on Aadhaar/PAN/Udyam synthetic datasets.</w:t>
      </w:r>
    </w:p>
    <w:p>
      <w:pPr>
        <w:pStyle w:val="ListBullet"/>
      </w:pPr>
      <w:r>
        <w:t>Matching Precision: 88% alignment with expert-vetted partnership recommendations.</w:t>
      </w:r>
    </w:p>
    <w:p/>
    <w:p>
      <w:r>
        <w:t>---</w:t>
      </w:r>
    </w:p>
    <w:p>
      <w:pPr>
        <w:jc w:val="center"/>
      </w:pPr>
      <w:r>
        <w:rPr>
          <w:b/>
        </w:rPr>
        <w:t xml:space="preserve">Declaration: </w:t>
      </w:r>
      <w:r>
        <w:t>This technical base is proprietary to the development team and has been validated through integrated unit testing and regional cluster pilots.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