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Deployment, Pilot &amp; Scaling Report</w:t>
      </w:r>
    </w:p>
    <w:p/>
    <w:p>
      <w:pPr>
        <w:pStyle w:val="Heading1"/>
      </w:pPr>
      <w:r>
        <w:t>1. Targeted Regional Pilots</w:t>
      </w:r>
    </w:p>
    <w:p>
      <w:r>
        <w:t>The solution has been successfully demonstrated and validated through targeted pilots in representative MSME clusters across India, focusing on high-impact sectors:</w:t>
      </w:r>
    </w:p>
    <w:p>
      <w:r>
        <w:rPr>
          <w:b/>
        </w:rPr>
        <w:t>Uttar Pradesh (Varanasi &amp; Lucknow):</w:t>
      </w:r>
      <w:r>
        <w:t xml:space="preserve"> Conducted focused demonstrations with Textile Weavers and Handloom MSEs. Validated the ASR engine for regional Hindi dialects and specialized weaving terminology.</w:t>
      </w:r>
    </w:p>
    <w:p>
      <w:r>
        <w:rPr>
          <w:b/>
        </w:rPr>
        <w:t>Tamil Nadu (Kanchipuram &amp; Salem):</w:t>
      </w:r>
      <w:r>
        <w:t xml:space="preserve"> Validated multilingual voice-first onboarding for Silk Handloom clusters using optimized Tamil language models.</w:t>
      </w:r>
    </w:p>
    <w:p>
      <w:r>
        <w:rPr>
          <w:b/>
        </w:rPr>
        <w:t>Rajasthan (Jaipur):</w:t>
      </w:r>
      <w:r>
        <w:t xml:space="preserve"> Piloted product categorization and matching logic for Handicrafts and Traditional Décor MSMEs.</w:t>
      </w:r>
    </w:p>
    <w:p>
      <w:r>
        <w:rPr>
          <w:b/>
        </w:rPr>
        <w:t>Punjab (Ludhiana):</w:t>
      </w:r>
      <w:r>
        <w:t xml:space="preserve"> Tested document OCR automation and compliance workflows for Small-Scale Manufacturing and Engineering units.</w:t>
      </w:r>
    </w:p>
    <w:p>
      <w:pPr>
        <w:pStyle w:val="Heading1"/>
      </w:pPr>
      <w:r>
        <w:t>2. Deployment Methodology</w:t>
      </w:r>
    </w:p>
    <w:p>
      <w:pPr>
        <w:pStyle w:val="ListBullet"/>
      </w:pPr>
      <w:r>
        <w:t>Containerized Architecture: The entire ecosystem is deployed using Docker, enabling seamless orchestration across varied cloud environments (AWS/Azure/GCP).</w:t>
      </w:r>
    </w:p>
    <w:p>
      <w:pPr>
        <w:pStyle w:val="ListBullet"/>
      </w:pPr>
      <w:r>
        <w:t>Microservices-First Approach: AI models (OCR, ASR, Matching) are deployed as independent, scalable services that communicate via low-latency REST APIs.</w:t>
      </w:r>
    </w:p>
    <w:p>
      <w:pPr>
        <w:pStyle w:val="ListBullet"/>
      </w:pPr>
      <w:r>
        <w:t>Edge Resilience: Optimized frontend processing (Client-side PCM encoding) ensures the solution remains functional even in regions with inconsistent network bandwidth.</w:t>
      </w:r>
    </w:p>
    <w:p>
      <w:pPr>
        <w:pStyle w:val="Heading1"/>
      </w:pPr>
      <w:r>
        <w:t>3. National Scaling Strategy</w:t>
      </w:r>
    </w:p>
    <w:p>
      <w:r>
        <w:t>The architecture is designed for National-Scale Deployment via the ONDC network through:</w:t>
      </w:r>
    </w:p>
    <w:p>
      <w:pPr>
        <w:pStyle w:val="ListBullet"/>
      </w:pPr>
      <w:r>
        <w:t>Zero-Shot Versatility: Leveraging BART-Large-MNLI allows the system to scale into new industrial sectors (e.g., Agri-Food, Leather, Pharma) without requiring localized model retraining.</w:t>
      </w:r>
    </w:p>
    <w:p>
      <w:pPr>
        <w:pStyle w:val="ListBullet"/>
      </w:pPr>
      <w:r>
        <w:t>Multilingual Breadth: The underlying Whisper-tiny foundation is ready to scale from 4 to 10+ Indic languages by simply updating the tokenizer configurations.</w:t>
      </w:r>
    </w:p>
    <w:p>
      <w:pPr>
        <w:pStyle w:val="ListBullet"/>
      </w:pPr>
      <w:r>
        <w:t>Infrastructure Efficiency: Lazy-loading logic allows the platform to support thousands of concurrent MSE registrations on standard hardware, significantly lowering the barrier for statewide rollouts.</w:t>
      </w:r>
    </w:p>
    <w:p/>
    <w:p>
      <w:r>
        <w:t>---</w:t>
      </w:r>
    </w:p>
    <w:p>
      <w:r>
        <w:t>This deployment record confirms that the solution is not only technically sound but also battle-tested for the unique geographical and linguistic diversity of the Indian MSME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