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0BD" w:rsidRDefault="00666E0B">
      <w:pPr>
        <w:pStyle w:val="Title"/>
      </w:pPr>
      <w:r>
        <w:t xml:space="preserve">Code GCconnex </w:t>
      </w:r>
      <w:r>
        <w:t>–</w:t>
      </w:r>
      <w:r>
        <w:t xml:space="preserve"> Code Friendlies </w:t>
      </w:r>
      <w:r>
        <w:t>–</w:t>
      </w:r>
      <w:r>
        <w:t xml:space="preserve"> Write-up for GCconnex</w:t>
      </w:r>
    </w:p>
    <w:p w:rsidR="005520BD" w:rsidRDefault="00552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180"/>
        <w:gridCol w:w="4181"/>
      </w:tblGrid>
      <w:tr w:rsidR="005520BD">
        <w:tc>
          <w:tcPr>
            <w:tcW w:w="4788" w:type="dxa"/>
            <w:vAlign w:val="center"/>
          </w:tcPr>
          <w:p w:rsidR="005520BD" w:rsidRDefault="00666E0B">
            <w:pPr>
              <w:spacing w:before="100" w:beforeAutospacing="1" w:after="100" w:afterAutospacing="1"/>
              <w:rPr>
                <w:rFonts w:ascii="Times New Roman"/>
                <w:b/>
                <w:sz w:val="24"/>
                <w:szCs w:val="24"/>
                <w:lang w:val="en"/>
              </w:rPr>
            </w:pPr>
            <w:r>
              <w:rPr>
                <w:rFonts w:ascii="Times New Roman"/>
                <w:b/>
                <w:sz w:val="24"/>
                <w:szCs w:val="24"/>
                <w:lang w:val="en" w:eastAsia="en-CA"/>
              </w:rPr>
              <w:t>Team Name</w:t>
            </w:r>
          </w:p>
        </w:tc>
        <w:tc>
          <w:tcPr>
            <w:tcW w:w="8361" w:type="dxa"/>
            <w:gridSpan w:val="2"/>
          </w:tcPr>
          <w:p w:rsidR="005520BD" w:rsidRDefault="00666E0B">
            <w:r>
              <w:t>Code Friendlies</w:t>
            </w:r>
          </w:p>
        </w:tc>
      </w:tr>
      <w:tr w:rsidR="005520BD">
        <w:tc>
          <w:tcPr>
            <w:tcW w:w="4788" w:type="dxa"/>
            <w:vAlign w:val="center"/>
          </w:tcPr>
          <w:p w:rsidR="005520BD" w:rsidRDefault="00666E0B">
            <w:pPr>
              <w:spacing w:before="100" w:beforeAutospacing="1" w:after="100" w:afterAutospacing="1"/>
              <w:rPr>
                <w:rFonts w:ascii="Times New Roman"/>
                <w:b/>
                <w:sz w:val="24"/>
                <w:szCs w:val="24"/>
                <w:lang w:val="en"/>
              </w:rPr>
            </w:pPr>
            <w:r>
              <w:rPr>
                <w:rFonts w:ascii="Times New Roman"/>
                <w:b/>
                <w:sz w:val="24"/>
                <w:szCs w:val="24"/>
                <w:lang w:val="en" w:eastAsia="en-CA"/>
              </w:rPr>
              <w:t>Brief description of the project and why you think it’s the greatest addition to GCconnex</w:t>
            </w:r>
          </w:p>
        </w:tc>
        <w:tc>
          <w:tcPr>
            <w:tcW w:w="8361" w:type="dxa"/>
            <w:gridSpan w:val="2"/>
            <w:tcBorders>
              <w:bottom w:val="single" w:sz="4" w:space="0" w:color="auto"/>
            </w:tcBorders>
          </w:tcPr>
          <w:p w:rsidR="005520BD" w:rsidRDefault="00666E0B">
            <w:r>
              <w:t xml:space="preserve">GCconnex has </w:t>
            </w:r>
            <w:r>
              <w:t xml:space="preserve">been </w:t>
            </w:r>
            <w:r w:rsidR="00104709">
              <w:t xml:space="preserve">used as </w:t>
            </w:r>
            <w:r>
              <w:t xml:space="preserve">the </w:t>
            </w:r>
            <w:r w:rsidR="00104709">
              <w:t xml:space="preserve">unofficial </w:t>
            </w:r>
            <w:r>
              <w:t xml:space="preserve">central </w:t>
            </w:r>
            <w:r>
              <w:t xml:space="preserve">repository for file sharing across </w:t>
            </w:r>
            <w:r w:rsidR="00104709">
              <w:t>government</w:t>
            </w:r>
            <w:r>
              <w:t xml:space="preserve"> departments. This is </w:t>
            </w:r>
            <w:r w:rsidR="00104709">
              <w:t>not sustainable</w:t>
            </w:r>
            <w:r>
              <w:t xml:space="preserve"> </w:t>
            </w:r>
            <w:r>
              <w:t>—</w:t>
            </w:r>
            <w:r>
              <w:t xml:space="preserve"> </w:t>
            </w:r>
            <w:r w:rsidR="00104709">
              <w:t xml:space="preserve">currently, </w:t>
            </w:r>
            <w:r>
              <w:t xml:space="preserve">39% of </w:t>
            </w:r>
            <w:r w:rsidR="00104709">
              <w:t>total file storage space on GCconnex is being used and that is with</w:t>
            </w:r>
            <w:r>
              <w:t xml:space="preserve"> only 700 active daily users! As the number of users </w:t>
            </w:r>
            <w:r w:rsidR="006E3B83">
              <w:t>grows</w:t>
            </w:r>
            <w:r>
              <w:t xml:space="preserve"> </w:t>
            </w:r>
            <w:r w:rsidR="00104709">
              <w:t xml:space="preserve">so will the volume of files on GCconnex. </w:t>
            </w:r>
          </w:p>
          <w:p w:rsidR="00104709" w:rsidRDefault="00104709"/>
          <w:p w:rsidR="005520BD" w:rsidRDefault="00104709">
            <w:r>
              <w:t>The</w:t>
            </w:r>
            <w:r w:rsidR="00666E0B">
              <w:t xml:space="preserve"> File Storage Dashboard </w:t>
            </w:r>
            <w:r>
              <w:t>and</w:t>
            </w:r>
            <w:r w:rsidR="00666E0B">
              <w:t xml:space="preserve"> file storage limit</w:t>
            </w:r>
            <w:r w:rsidR="00666E0B">
              <w:t xml:space="preserve"> </w:t>
            </w:r>
            <w:r w:rsidR="00666E0B">
              <w:t xml:space="preserve">will provide group </w:t>
            </w:r>
            <w:r w:rsidR="006E3B83">
              <w:t>operators</w:t>
            </w:r>
            <w:r w:rsidR="00666E0B">
              <w:t xml:space="preserve"> with a means to view and manage their file storage. When a group file storage level gets too high, a warning will pop up and provide quick suggestions for managing </w:t>
            </w:r>
            <w:r w:rsidR="00666E0B">
              <w:t>the files. Incorporating easy-to-action information management (I</w:t>
            </w:r>
            <w:r w:rsidR="00666E0B">
              <w:t xml:space="preserve">M) techniques will </w:t>
            </w:r>
            <w:r w:rsidR="006E3B83">
              <w:t xml:space="preserve">help </w:t>
            </w:r>
            <w:r w:rsidR="00666E0B">
              <w:t xml:space="preserve">keep storage levels low </w:t>
            </w:r>
            <w:r w:rsidR="00666E0B">
              <w:t xml:space="preserve">and aid in the further development of good IM on GCconnex and the future GC central repository. </w:t>
            </w:r>
            <w:bookmarkStart w:id="0" w:name="_GoBack"/>
            <w:bookmarkEnd w:id="0"/>
          </w:p>
          <w:p w:rsidR="005520BD" w:rsidRDefault="005520BD"/>
        </w:tc>
      </w:tr>
      <w:tr w:rsidR="005520BD">
        <w:trPr>
          <w:trHeight w:val="248"/>
        </w:trPr>
        <w:tc>
          <w:tcPr>
            <w:tcW w:w="4788" w:type="dxa"/>
            <w:vMerge w:val="restart"/>
            <w:vAlign w:val="center"/>
          </w:tcPr>
          <w:p w:rsidR="005520BD" w:rsidRDefault="00666E0B">
            <w:r>
              <w:rPr>
                <w:rFonts w:ascii="Times New Roman"/>
                <w:b/>
                <w:sz w:val="24"/>
                <w:szCs w:val="24"/>
                <w:lang w:val="en" w:eastAsia="en-CA"/>
              </w:rPr>
              <w:t>List of Team Members and Departments</w:t>
            </w:r>
          </w:p>
        </w:tc>
        <w:tc>
          <w:tcPr>
            <w:tcW w:w="4180" w:type="dxa"/>
            <w:shd w:val="pct10" w:color="auto" w:fill="auto"/>
            <w:vAlign w:val="center"/>
          </w:tcPr>
          <w:p w:rsidR="005520BD" w:rsidRDefault="00666E0B">
            <w:pPr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4181" w:type="dxa"/>
            <w:shd w:val="pct10" w:color="auto" w:fill="auto"/>
            <w:vAlign w:val="center"/>
          </w:tcPr>
          <w:p w:rsidR="005520BD" w:rsidRDefault="00666E0B">
            <w:pPr>
              <w:jc w:val="center"/>
              <w:rPr>
                <w:b/>
              </w:rPr>
            </w:pPr>
            <w:r>
              <w:rPr>
                <w:b/>
              </w:rPr>
              <w:t>Department/Agency</w:t>
            </w:r>
          </w:p>
        </w:tc>
      </w:tr>
      <w:tr w:rsidR="005520BD">
        <w:trPr>
          <w:trHeight w:val="248"/>
        </w:trPr>
        <w:tc>
          <w:tcPr>
            <w:tcW w:w="4788" w:type="dxa"/>
            <w:vMerge/>
            <w:vAlign w:val="center"/>
          </w:tcPr>
          <w:p w:rsidR="005520BD" w:rsidRDefault="005520BD">
            <w:pPr>
              <w:rPr>
                <w:rFonts w:ascii="Times New Roman"/>
                <w:b/>
                <w:sz w:val="24"/>
                <w:szCs w:val="24"/>
                <w:lang w:val="en" w:eastAsia="en-CA"/>
              </w:rPr>
            </w:pPr>
          </w:p>
        </w:tc>
        <w:tc>
          <w:tcPr>
            <w:tcW w:w="4180" w:type="dxa"/>
          </w:tcPr>
          <w:p w:rsidR="005520BD" w:rsidRDefault="00666E0B">
            <w:r>
              <w:t>Christine Yu</w:t>
            </w:r>
          </w:p>
        </w:tc>
        <w:tc>
          <w:tcPr>
            <w:tcW w:w="4181" w:type="dxa"/>
          </w:tcPr>
          <w:p w:rsidR="005520BD" w:rsidRDefault="00666E0B">
            <w:r>
              <w:t>Treasury Board Secretariat</w:t>
            </w:r>
          </w:p>
        </w:tc>
      </w:tr>
      <w:tr w:rsidR="005520BD">
        <w:trPr>
          <w:trHeight w:val="248"/>
        </w:trPr>
        <w:tc>
          <w:tcPr>
            <w:tcW w:w="4788" w:type="dxa"/>
            <w:vMerge/>
            <w:vAlign w:val="center"/>
          </w:tcPr>
          <w:p w:rsidR="005520BD" w:rsidRDefault="005520BD">
            <w:pPr>
              <w:rPr>
                <w:rFonts w:ascii="Times New Roman"/>
                <w:b/>
                <w:sz w:val="24"/>
                <w:szCs w:val="24"/>
                <w:lang w:val="en" w:eastAsia="en-CA"/>
              </w:rPr>
            </w:pPr>
          </w:p>
        </w:tc>
        <w:tc>
          <w:tcPr>
            <w:tcW w:w="4180" w:type="dxa"/>
          </w:tcPr>
          <w:p w:rsidR="005520BD" w:rsidRDefault="00666E0B">
            <w:r>
              <w:t>Bart Jeukendrup</w:t>
            </w:r>
          </w:p>
        </w:tc>
        <w:tc>
          <w:tcPr>
            <w:tcW w:w="4181" w:type="dxa"/>
          </w:tcPr>
          <w:p w:rsidR="005520BD" w:rsidRDefault="00666E0B">
            <w:r>
              <w:t>Netherlands Public Service</w:t>
            </w:r>
          </w:p>
        </w:tc>
      </w:tr>
      <w:tr w:rsidR="005520BD">
        <w:trPr>
          <w:trHeight w:val="248"/>
        </w:trPr>
        <w:tc>
          <w:tcPr>
            <w:tcW w:w="4788" w:type="dxa"/>
            <w:vMerge/>
            <w:vAlign w:val="center"/>
          </w:tcPr>
          <w:p w:rsidR="005520BD" w:rsidRDefault="005520BD">
            <w:pPr>
              <w:rPr>
                <w:rFonts w:ascii="Times New Roman"/>
                <w:b/>
                <w:sz w:val="24"/>
                <w:szCs w:val="24"/>
                <w:lang w:val="en" w:eastAsia="en-CA"/>
              </w:rPr>
            </w:pPr>
          </w:p>
        </w:tc>
        <w:tc>
          <w:tcPr>
            <w:tcW w:w="4180" w:type="dxa"/>
          </w:tcPr>
          <w:p w:rsidR="005520BD" w:rsidRDefault="00666E0B">
            <w:pPr>
              <w:rPr>
                <w:lang w:val="fr-CA"/>
              </w:rPr>
            </w:pPr>
            <w:r>
              <w:rPr>
                <w:lang w:val="fr-CA"/>
              </w:rPr>
              <w:t>Kristy Welbourn</w:t>
            </w:r>
          </w:p>
        </w:tc>
        <w:tc>
          <w:tcPr>
            <w:tcW w:w="4181" w:type="dxa"/>
          </w:tcPr>
          <w:p w:rsidR="005520BD" w:rsidRDefault="00666E0B">
            <w:pPr>
              <w:rPr>
                <w:lang w:val="fr-CA"/>
              </w:rPr>
            </w:pPr>
            <w:r>
              <w:rPr>
                <w:lang w:val="fr-CA"/>
              </w:rPr>
              <w:t>Canada Revenue Agency</w:t>
            </w:r>
          </w:p>
        </w:tc>
      </w:tr>
      <w:tr w:rsidR="005520BD">
        <w:trPr>
          <w:trHeight w:val="248"/>
        </w:trPr>
        <w:tc>
          <w:tcPr>
            <w:tcW w:w="4788" w:type="dxa"/>
            <w:vMerge/>
            <w:vAlign w:val="center"/>
          </w:tcPr>
          <w:p w:rsidR="005520BD" w:rsidRDefault="005520BD">
            <w:pPr>
              <w:rPr>
                <w:rFonts w:ascii="Times New Roman"/>
                <w:b/>
                <w:sz w:val="24"/>
                <w:szCs w:val="24"/>
                <w:lang w:val="en" w:eastAsia="en-CA"/>
              </w:rPr>
            </w:pPr>
          </w:p>
        </w:tc>
        <w:tc>
          <w:tcPr>
            <w:tcW w:w="4180" w:type="dxa"/>
          </w:tcPr>
          <w:p w:rsidR="005520BD" w:rsidRDefault="00666E0B">
            <w:pPr>
              <w:rPr>
                <w:lang w:val="fr-CA"/>
              </w:rPr>
            </w:pPr>
            <w:r>
              <w:rPr>
                <w:lang w:val="fr-CA"/>
              </w:rPr>
              <w:t>Gowoon Lee</w:t>
            </w:r>
          </w:p>
        </w:tc>
        <w:tc>
          <w:tcPr>
            <w:tcW w:w="4181" w:type="dxa"/>
          </w:tcPr>
          <w:p w:rsidR="005520BD" w:rsidRDefault="00666E0B">
            <w:pPr>
              <w:rPr>
                <w:lang w:val="fr-CA"/>
              </w:rPr>
            </w:pPr>
            <w:r>
              <w:t>Treasury Board Secretariat</w:t>
            </w:r>
          </w:p>
        </w:tc>
      </w:tr>
      <w:tr w:rsidR="005520BD">
        <w:trPr>
          <w:trHeight w:val="248"/>
        </w:trPr>
        <w:tc>
          <w:tcPr>
            <w:tcW w:w="4788" w:type="dxa"/>
            <w:vMerge/>
            <w:vAlign w:val="center"/>
          </w:tcPr>
          <w:p w:rsidR="005520BD" w:rsidRDefault="005520BD">
            <w:pPr>
              <w:rPr>
                <w:rFonts w:ascii="Times New Roman"/>
                <w:b/>
                <w:sz w:val="24"/>
                <w:szCs w:val="24"/>
                <w:lang w:val="en" w:eastAsia="en-CA"/>
              </w:rPr>
            </w:pPr>
          </w:p>
        </w:tc>
        <w:tc>
          <w:tcPr>
            <w:tcW w:w="4180" w:type="dxa"/>
          </w:tcPr>
          <w:p w:rsidR="005520BD" w:rsidRDefault="00666E0B">
            <w:pPr>
              <w:rPr>
                <w:lang w:val="fr-CA"/>
              </w:rPr>
            </w:pPr>
            <w:r>
              <w:rPr>
                <w:lang w:val="fr-CA"/>
              </w:rPr>
              <w:t>Rod Gallant</w:t>
            </w:r>
          </w:p>
        </w:tc>
        <w:tc>
          <w:tcPr>
            <w:tcW w:w="4181" w:type="dxa"/>
          </w:tcPr>
          <w:p w:rsidR="005520BD" w:rsidRDefault="00666E0B">
            <w:pPr>
              <w:rPr>
                <w:lang w:val="fr-CA"/>
              </w:rPr>
            </w:pPr>
            <w:r>
              <w:rPr>
                <w:lang w:val="fr-CA"/>
              </w:rPr>
              <w:t>Canada Revenue Agency</w:t>
            </w:r>
          </w:p>
        </w:tc>
      </w:tr>
      <w:tr w:rsidR="005520BD">
        <w:trPr>
          <w:trHeight w:val="248"/>
        </w:trPr>
        <w:tc>
          <w:tcPr>
            <w:tcW w:w="4788" w:type="dxa"/>
            <w:vMerge/>
            <w:vAlign w:val="center"/>
          </w:tcPr>
          <w:p w:rsidR="005520BD" w:rsidRDefault="005520BD">
            <w:pPr>
              <w:rPr>
                <w:rFonts w:ascii="Times New Roman"/>
                <w:b/>
                <w:sz w:val="24"/>
                <w:szCs w:val="24"/>
                <w:lang w:val="en" w:eastAsia="en-CA"/>
              </w:rPr>
            </w:pPr>
          </w:p>
        </w:tc>
        <w:tc>
          <w:tcPr>
            <w:tcW w:w="4180" w:type="dxa"/>
          </w:tcPr>
          <w:p w:rsidR="005520BD" w:rsidRDefault="00666E0B">
            <w:r>
              <w:t>Ioana Finichiu</w:t>
            </w:r>
          </w:p>
        </w:tc>
        <w:tc>
          <w:tcPr>
            <w:tcW w:w="4181" w:type="dxa"/>
          </w:tcPr>
          <w:p w:rsidR="005520BD" w:rsidRDefault="00666E0B">
            <w:r>
              <w:t>Treasury Board Secretariat</w:t>
            </w:r>
          </w:p>
        </w:tc>
      </w:tr>
      <w:tr w:rsidR="005520BD">
        <w:trPr>
          <w:trHeight w:val="243"/>
        </w:trPr>
        <w:tc>
          <w:tcPr>
            <w:tcW w:w="4788" w:type="dxa"/>
            <w:vMerge w:val="restart"/>
            <w:vAlign w:val="center"/>
          </w:tcPr>
          <w:p w:rsidR="005520BD" w:rsidRDefault="00666E0B">
            <w:pPr>
              <w:spacing w:before="100" w:beforeAutospacing="1" w:after="100" w:afterAutospacing="1"/>
              <w:rPr>
                <w:rFonts w:ascii="Times New Roman"/>
                <w:b/>
                <w:sz w:val="24"/>
                <w:szCs w:val="24"/>
                <w:lang w:val="en"/>
              </w:rPr>
            </w:pPr>
            <w:r>
              <w:rPr>
                <w:rFonts w:ascii="Times New Roman"/>
                <w:b/>
                <w:sz w:val="24"/>
                <w:szCs w:val="24"/>
                <w:lang w:val="en" w:eastAsia="en-CA"/>
              </w:rPr>
              <w:t xml:space="preserve">Range of skill </w:t>
            </w:r>
            <w:r>
              <w:rPr>
                <w:rFonts w:ascii="Times New Roman"/>
                <w:b/>
                <w:sz w:val="24"/>
                <w:szCs w:val="24"/>
                <w:lang w:val="en" w:eastAsia="en-CA"/>
              </w:rPr>
              <w:t>sets on your team</w:t>
            </w:r>
          </w:p>
        </w:tc>
        <w:tc>
          <w:tcPr>
            <w:tcW w:w="4180" w:type="dxa"/>
            <w:shd w:val="pct10" w:color="auto" w:fill="auto"/>
            <w:vAlign w:val="center"/>
          </w:tcPr>
          <w:p w:rsidR="005520BD" w:rsidRDefault="00666E0B">
            <w:pPr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4181" w:type="dxa"/>
            <w:shd w:val="pct10" w:color="auto" w:fill="auto"/>
            <w:vAlign w:val="center"/>
          </w:tcPr>
          <w:p w:rsidR="005520BD" w:rsidRDefault="00666E0B">
            <w:pPr>
              <w:jc w:val="center"/>
              <w:rPr>
                <w:b/>
              </w:rPr>
            </w:pPr>
            <w:r>
              <w:rPr>
                <w:b/>
              </w:rPr>
              <w:t>Roles in this Project</w:t>
            </w:r>
          </w:p>
        </w:tc>
      </w:tr>
      <w:tr w:rsidR="005520BD">
        <w:trPr>
          <w:trHeight w:val="243"/>
        </w:trPr>
        <w:tc>
          <w:tcPr>
            <w:tcW w:w="4788" w:type="dxa"/>
            <w:vMerge/>
            <w:vAlign w:val="center"/>
          </w:tcPr>
          <w:p w:rsidR="005520BD" w:rsidRDefault="005520BD">
            <w:pPr>
              <w:spacing w:before="100" w:beforeAutospacing="1" w:after="100" w:afterAutospacing="1"/>
              <w:rPr>
                <w:rFonts w:ascii="Times New Roman"/>
                <w:b/>
                <w:sz w:val="24"/>
                <w:szCs w:val="24"/>
                <w:lang w:val="en" w:eastAsia="en-CA"/>
              </w:rPr>
            </w:pPr>
          </w:p>
        </w:tc>
        <w:tc>
          <w:tcPr>
            <w:tcW w:w="4180" w:type="dxa"/>
            <w:shd w:val="clear" w:color="auto" w:fill="auto"/>
          </w:tcPr>
          <w:p w:rsidR="005520BD" w:rsidRDefault="00666E0B">
            <w:r>
              <w:t>Christine Yu</w:t>
            </w:r>
          </w:p>
        </w:tc>
        <w:tc>
          <w:tcPr>
            <w:tcW w:w="4181" w:type="dxa"/>
            <w:shd w:val="clear" w:color="auto" w:fill="auto"/>
          </w:tcPr>
          <w:p w:rsidR="005520BD" w:rsidRDefault="00666E0B">
            <w:r>
              <w:t xml:space="preserve">developer </w:t>
            </w:r>
            <w:r>
              <w:t>–</w:t>
            </w:r>
            <w:r>
              <w:t xml:space="preserve"> Elgg guru</w:t>
            </w:r>
          </w:p>
        </w:tc>
      </w:tr>
      <w:tr w:rsidR="005520BD">
        <w:trPr>
          <w:trHeight w:val="243"/>
        </w:trPr>
        <w:tc>
          <w:tcPr>
            <w:tcW w:w="4788" w:type="dxa"/>
            <w:vMerge/>
            <w:vAlign w:val="center"/>
          </w:tcPr>
          <w:p w:rsidR="005520BD" w:rsidRDefault="005520BD">
            <w:pPr>
              <w:spacing w:before="100" w:beforeAutospacing="1" w:after="100" w:afterAutospacing="1"/>
              <w:rPr>
                <w:rFonts w:ascii="Times New Roman"/>
                <w:b/>
                <w:sz w:val="24"/>
                <w:szCs w:val="24"/>
                <w:lang w:val="en" w:eastAsia="en-CA"/>
              </w:rPr>
            </w:pPr>
          </w:p>
        </w:tc>
        <w:tc>
          <w:tcPr>
            <w:tcW w:w="4180" w:type="dxa"/>
            <w:shd w:val="clear" w:color="auto" w:fill="auto"/>
          </w:tcPr>
          <w:p w:rsidR="005520BD" w:rsidRDefault="00666E0B">
            <w:r>
              <w:t>Bart Jeukendrup</w:t>
            </w:r>
          </w:p>
        </w:tc>
        <w:tc>
          <w:tcPr>
            <w:tcW w:w="4181" w:type="dxa"/>
            <w:shd w:val="clear" w:color="auto" w:fill="auto"/>
          </w:tcPr>
          <w:p w:rsidR="005520BD" w:rsidRDefault="00666E0B">
            <w:r>
              <w:t xml:space="preserve">developer </w:t>
            </w:r>
            <w:r>
              <w:t>–</w:t>
            </w:r>
            <w:r>
              <w:t xml:space="preserve"> frontend and backend development (PHP, MySQL, Javascript, HTML5/CSS)</w:t>
            </w:r>
          </w:p>
        </w:tc>
      </w:tr>
      <w:tr w:rsidR="005520BD">
        <w:trPr>
          <w:trHeight w:val="243"/>
        </w:trPr>
        <w:tc>
          <w:tcPr>
            <w:tcW w:w="4788" w:type="dxa"/>
            <w:vMerge/>
            <w:vAlign w:val="center"/>
          </w:tcPr>
          <w:p w:rsidR="005520BD" w:rsidRDefault="005520BD">
            <w:pPr>
              <w:spacing w:before="100" w:beforeAutospacing="1" w:after="100" w:afterAutospacing="1"/>
              <w:rPr>
                <w:rFonts w:ascii="Times New Roman"/>
                <w:b/>
                <w:sz w:val="24"/>
                <w:szCs w:val="24"/>
                <w:lang w:val="en" w:eastAsia="en-CA"/>
              </w:rPr>
            </w:pPr>
          </w:p>
        </w:tc>
        <w:tc>
          <w:tcPr>
            <w:tcW w:w="4180" w:type="dxa"/>
            <w:shd w:val="clear" w:color="auto" w:fill="auto"/>
          </w:tcPr>
          <w:p w:rsidR="005520BD" w:rsidRDefault="00666E0B">
            <w:pPr>
              <w:rPr>
                <w:lang w:val="fr-CA"/>
              </w:rPr>
            </w:pPr>
            <w:r>
              <w:rPr>
                <w:lang w:val="fr-CA"/>
              </w:rPr>
              <w:t>Kristy Welbourn</w:t>
            </w:r>
          </w:p>
        </w:tc>
        <w:tc>
          <w:tcPr>
            <w:tcW w:w="4181" w:type="dxa"/>
            <w:shd w:val="clear" w:color="auto" w:fill="auto"/>
          </w:tcPr>
          <w:p w:rsidR="005520BD" w:rsidRDefault="00D214F0">
            <w:r>
              <w:t xml:space="preserve">writer, editor, project manager, user design </w:t>
            </w:r>
            <w:r>
              <w:lastRenderedPageBreak/>
              <w:t>consultant, communications specialist</w:t>
            </w:r>
          </w:p>
        </w:tc>
      </w:tr>
      <w:tr w:rsidR="005520BD">
        <w:trPr>
          <w:trHeight w:val="243"/>
        </w:trPr>
        <w:tc>
          <w:tcPr>
            <w:tcW w:w="4788" w:type="dxa"/>
            <w:vMerge/>
            <w:vAlign w:val="center"/>
          </w:tcPr>
          <w:p w:rsidR="005520BD" w:rsidRDefault="005520BD">
            <w:pPr>
              <w:spacing w:before="100" w:beforeAutospacing="1" w:after="100" w:afterAutospacing="1"/>
              <w:rPr>
                <w:rFonts w:ascii="Times New Roman"/>
                <w:b/>
                <w:sz w:val="24"/>
                <w:szCs w:val="24"/>
                <w:lang w:val="en" w:eastAsia="en-CA"/>
              </w:rPr>
            </w:pPr>
          </w:p>
        </w:tc>
        <w:tc>
          <w:tcPr>
            <w:tcW w:w="4180" w:type="dxa"/>
            <w:shd w:val="clear" w:color="auto" w:fill="auto"/>
          </w:tcPr>
          <w:p w:rsidR="005520BD" w:rsidRDefault="00666E0B">
            <w:pPr>
              <w:rPr>
                <w:lang w:val="fr-CA"/>
              </w:rPr>
            </w:pPr>
            <w:r>
              <w:rPr>
                <w:lang w:val="fr-CA"/>
              </w:rPr>
              <w:t>Gowoon Lee</w:t>
            </w:r>
          </w:p>
        </w:tc>
        <w:tc>
          <w:tcPr>
            <w:tcW w:w="4181" w:type="dxa"/>
            <w:shd w:val="clear" w:color="auto" w:fill="auto"/>
          </w:tcPr>
          <w:p w:rsidR="005520BD" w:rsidRDefault="00D214F0">
            <w:r>
              <w:t>user design consultant, animated video creator, writer, editor, communications specialist</w:t>
            </w:r>
          </w:p>
        </w:tc>
      </w:tr>
      <w:tr w:rsidR="005520BD">
        <w:trPr>
          <w:trHeight w:val="243"/>
        </w:trPr>
        <w:tc>
          <w:tcPr>
            <w:tcW w:w="4788" w:type="dxa"/>
            <w:vMerge/>
            <w:vAlign w:val="center"/>
          </w:tcPr>
          <w:p w:rsidR="005520BD" w:rsidRDefault="005520BD">
            <w:pPr>
              <w:spacing w:before="100" w:beforeAutospacing="1" w:after="100" w:afterAutospacing="1"/>
              <w:rPr>
                <w:rFonts w:ascii="Times New Roman"/>
                <w:b/>
                <w:sz w:val="24"/>
                <w:szCs w:val="24"/>
                <w:lang w:val="en" w:eastAsia="en-CA"/>
              </w:rPr>
            </w:pPr>
          </w:p>
        </w:tc>
        <w:tc>
          <w:tcPr>
            <w:tcW w:w="4180" w:type="dxa"/>
            <w:shd w:val="clear" w:color="auto" w:fill="auto"/>
          </w:tcPr>
          <w:p w:rsidR="005520BD" w:rsidRDefault="00666E0B">
            <w:pPr>
              <w:rPr>
                <w:lang w:val="fr-CA"/>
              </w:rPr>
            </w:pPr>
            <w:r>
              <w:rPr>
                <w:lang w:val="fr-CA"/>
              </w:rPr>
              <w:t>Rod Gallant</w:t>
            </w:r>
          </w:p>
        </w:tc>
        <w:tc>
          <w:tcPr>
            <w:tcW w:w="4181" w:type="dxa"/>
            <w:shd w:val="clear" w:color="auto" w:fill="auto"/>
          </w:tcPr>
          <w:p w:rsidR="005520BD" w:rsidRDefault="00D214F0">
            <w:r>
              <w:t>user design consultant, writer, editor, communications specialist</w:t>
            </w:r>
          </w:p>
        </w:tc>
      </w:tr>
      <w:tr w:rsidR="005520BD">
        <w:trPr>
          <w:trHeight w:val="243"/>
        </w:trPr>
        <w:tc>
          <w:tcPr>
            <w:tcW w:w="4788" w:type="dxa"/>
            <w:vMerge/>
            <w:vAlign w:val="center"/>
          </w:tcPr>
          <w:p w:rsidR="005520BD" w:rsidRDefault="005520BD">
            <w:pPr>
              <w:spacing w:before="100" w:beforeAutospacing="1" w:after="100" w:afterAutospacing="1"/>
              <w:rPr>
                <w:rFonts w:ascii="Times New Roman"/>
                <w:b/>
                <w:sz w:val="24"/>
                <w:szCs w:val="24"/>
                <w:lang w:val="en" w:eastAsia="en-CA"/>
              </w:rPr>
            </w:pPr>
          </w:p>
        </w:tc>
        <w:tc>
          <w:tcPr>
            <w:tcW w:w="4180" w:type="dxa"/>
            <w:shd w:val="clear" w:color="auto" w:fill="auto"/>
          </w:tcPr>
          <w:p w:rsidR="005520BD" w:rsidRDefault="00666E0B">
            <w:r>
              <w:t>Ioana Finichiu</w:t>
            </w:r>
          </w:p>
        </w:tc>
        <w:tc>
          <w:tcPr>
            <w:tcW w:w="4181" w:type="dxa"/>
            <w:shd w:val="clear" w:color="auto" w:fill="auto"/>
          </w:tcPr>
          <w:p w:rsidR="005520BD" w:rsidRDefault="00AE0406" w:rsidP="00D214F0">
            <w:r>
              <w:t>writer, editor, communications specialist, creative producer, entertainment</w:t>
            </w:r>
          </w:p>
        </w:tc>
      </w:tr>
      <w:tr w:rsidR="005520BD">
        <w:tc>
          <w:tcPr>
            <w:tcW w:w="4788" w:type="dxa"/>
            <w:vAlign w:val="center"/>
          </w:tcPr>
          <w:p w:rsidR="005520BD" w:rsidRDefault="00666E0B">
            <w:pPr>
              <w:spacing w:before="100" w:beforeAutospacing="1" w:after="100" w:afterAutospacing="1"/>
              <w:rPr>
                <w:rFonts w:ascii="Times New Roman"/>
                <w:b/>
                <w:sz w:val="24"/>
                <w:szCs w:val="24"/>
                <w:lang w:val="en"/>
              </w:rPr>
            </w:pPr>
            <w:r>
              <w:rPr>
                <w:rFonts w:ascii="Times New Roman"/>
                <w:b/>
                <w:sz w:val="24"/>
                <w:szCs w:val="24"/>
                <w:lang w:val="en" w:eastAsia="en-CA"/>
              </w:rPr>
              <w:t>The most interesting insight observed by your team</w:t>
            </w:r>
            <w:r>
              <w:rPr>
                <w:rFonts w:ascii="Times New Roman"/>
                <w:b/>
                <w:sz w:val="24"/>
                <w:szCs w:val="24"/>
                <w:lang w:val="en" w:eastAsia="en-CA"/>
              </w:rPr>
              <w:t xml:space="preserve"> over the two days</w:t>
            </w:r>
          </w:p>
        </w:tc>
        <w:tc>
          <w:tcPr>
            <w:tcW w:w="8361" w:type="dxa"/>
            <w:gridSpan w:val="2"/>
          </w:tcPr>
          <w:p w:rsidR="005520BD" w:rsidRDefault="00666E0B">
            <w:r>
              <w:t xml:space="preserve">Having remote members spread across an 8-hour time zone requires a large amount of communication and documentation </w:t>
            </w:r>
            <w:r>
              <w:t>—</w:t>
            </w:r>
            <w:r>
              <w:t xml:space="preserve"> what could be discussed face-to-face must be typed and shared on a platform open to everyone for access at any time of d</w:t>
            </w:r>
            <w:r>
              <w:t>ay. Finding that collaboration platform (to cross GC departments and the Netherlands public service) was also a challenge.</w:t>
            </w:r>
          </w:p>
        </w:tc>
      </w:tr>
    </w:tbl>
    <w:p w:rsidR="005520BD" w:rsidRDefault="005520BD"/>
    <w:sectPr w:rsidR="005520BD">
      <w:pgSz w:w="15840" w:h="1224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6246"/>
    <w:multiLevelType w:val="hybridMultilevel"/>
    <w:tmpl w:val="C07CF116"/>
    <w:lvl w:ilvl="0" w:tplc="5E762AD8">
      <w:start w:val="1"/>
      <w:numFmt w:val="decimal"/>
      <w:lvlText w:val="%1."/>
      <w:lvlJc w:val="left"/>
      <w:pPr>
        <w:ind w:left="720" w:hanging="360"/>
      </w:pPr>
    </w:lvl>
    <w:lvl w:ilvl="1" w:tplc="24066E62">
      <w:start w:val="1"/>
      <w:numFmt w:val="lowerLetter"/>
      <w:lvlText w:val="%2."/>
      <w:lvlJc w:val="left"/>
      <w:pPr>
        <w:ind w:left="1440" w:hanging="360"/>
      </w:pPr>
    </w:lvl>
    <w:lvl w:ilvl="2" w:tplc="4136425E">
      <w:start w:val="1"/>
      <w:numFmt w:val="lowerRoman"/>
      <w:lvlText w:val="%3."/>
      <w:lvlJc w:val="right"/>
      <w:pPr>
        <w:ind w:left="2160" w:hanging="180"/>
      </w:pPr>
    </w:lvl>
    <w:lvl w:ilvl="3" w:tplc="9F28517E">
      <w:start w:val="1"/>
      <w:numFmt w:val="decimal"/>
      <w:lvlText w:val="%4."/>
      <w:lvlJc w:val="left"/>
      <w:pPr>
        <w:ind w:left="2880" w:hanging="360"/>
      </w:pPr>
    </w:lvl>
    <w:lvl w:ilvl="4" w:tplc="C9204E06">
      <w:start w:val="1"/>
      <w:numFmt w:val="lowerLetter"/>
      <w:lvlText w:val="%5."/>
      <w:lvlJc w:val="left"/>
      <w:pPr>
        <w:ind w:left="3600" w:hanging="360"/>
      </w:pPr>
    </w:lvl>
    <w:lvl w:ilvl="5" w:tplc="9F74B47C">
      <w:start w:val="1"/>
      <w:numFmt w:val="lowerRoman"/>
      <w:lvlText w:val="%6."/>
      <w:lvlJc w:val="right"/>
      <w:pPr>
        <w:ind w:left="4320" w:hanging="180"/>
      </w:pPr>
    </w:lvl>
    <w:lvl w:ilvl="6" w:tplc="A42A49FC">
      <w:start w:val="1"/>
      <w:numFmt w:val="decimal"/>
      <w:lvlText w:val="%7."/>
      <w:lvlJc w:val="left"/>
      <w:pPr>
        <w:ind w:left="5040" w:hanging="360"/>
      </w:pPr>
    </w:lvl>
    <w:lvl w:ilvl="7" w:tplc="BF8E481E">
      <w:start w:val="1"/>
      <w:numFmt w:val="lowerLetter"/>
      <w:lvlText w:val="%8."/>
      <w:lvlJc w:val="left"/>
      <w:pPr>
        <w:ind w:left="5760" w:hanging="360"/>
      </w:pPr>
    </w:lvl>
    <w:lvl w:ilvl="8" w:tplc="1D98CF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5F"/>
    <w:rsid w:val="000C5AAE"/>
    <w:rsid w:val="00104709"/>
    <w:rsid w:val="002941D1"/>
    <w:rsid w:val="0036194A"/>
    <w:rsid w:val="003A7162"/>
    <w:rsid w:val="00465B2B"/>
    <w:rsid w:val="004C3A24"/>
    <w:rsid w:val="00533170"/>
    <w:rsid w:val="00546F9A"/>
    <w:rsid w:val="005520BD"/>
    <w:rsid w:val="00666E0B"/>
    <w:rsid w:val="006B1441"/>
    <w:rsid w:val="006E3B83"/>
    <w:rsid w:val="006F7531"/>
    <w:rsid w:val="00705415"/>
    <w:rsid w:val="00743F6F"/>
    <w:rsid w:val="00800147"/>
    <w:rsid w:val="00825392"/>
    <w:rsid w:val="00840C8B"/>
    <w:rsid w:val="00891991"/>
    <w:rsid w:val="00897AFE"/>
    <w:rsid w:val="0096675F"/>
    <w:rsid w:val="00A35E4B"/>
    <w:rsid w:val="00A45749"/>
    <w:rsid w:val="00A652C0"/>
    <w:rsid w:val="00AD344A"/>
    <w:rsid w:val="00AE0406"/>
    <w:rsid w:val="00AF39AA"/>
    <w:rsid w:val="00B01CF7"/>
    <w:rsid w:val="00B54A16"/>
    <w:rsid w:val="00D214F0"/>
    <w:rsid w:val="00D457D2"/>
    <w:rsid w:val="00D953A6"/>
    <w:rsid w:val="00F8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Welbourn, Kristy</dc:creator>
  <cp:lastModifiedBy>Welbourn, Kristy</cp:lastModifiedBy>
  <cp:revision>2</cp:revision>
  <dcterms:created xsi:type="dcterms:W3CDTF">2015-12-10T21:00:00Z</dcterms:created>
  <dcterms:modified xsi:type="dcterms:W3CDTF">2015-12-10T21:00:00Z</dcterms:modified>
</cp:coreProperties>
</file>