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3.13 LibreOffice Test</w:t>
      </w:r>
    </w:p>
    <w:p>
      <w:r>
        <w:t>This document was created to verify the high-fidelity LibreOffice headless conversion pipeline.</w:t>
      </w:r>
    </w:p>
    <w:p>
      <w:r>
        <w:t>It contains paragraph text, a table below, and a bold/italic run.</w:t>
      </w:r>
    </w:p>
    <w:p>
      <w:r>
        <w:t xml:space="preserve">Mixed formatting: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foo</w:t>
            </w:r>
          </w:p>
        </w:tc>
        <w:tc>
          <w:tcPr>
            <w:tcW w:type="dxa" w:w="4320"/>
          </w:tcPr>
          <w:p>
            <w:r>
              <w:t>bar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