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3E1A1" w14:textId="77777777" w:rsidR="006F067F" w:rsidRDefault="00F45624">
      <w:pPr>
        <w:pStyle w:val="Heading2"/>
        <w:spacing w:before="56"/>
      </w:pPr>
      <w:r>
        <w:t>Procedure</w:t>
      </w:r>
    </w:p>
    <w:p w14:paraId="4BF3AE69" w14:textId="3545B17F" w:rsidR="006F067F" w:rsidRDefault="00F45624">
      <w:pPr>
        <w:pStyle w:val="BodyText"/>
        <w:ind w:left="212" w:right="118"/>
      </w:pPr>
      <w:r>
        <w:t xml:space="preserve">This procedure is to be used as a guide to ensure underground assets </w:t>
      </w:r>
      <w:proofErr w:type="spellStart"/>
      <w:r>
        <w:t>eg</w:t>
      </w:r>
      <w:proofErr w:type="spellEnd"/>
      <w:r>
        <w:t xml:space="preserve"> sewer, electrical, gas, telephone </w:t>
      </w:r>
      <w:proofErr w:type="spellStart"/>
      <w:r>
        <w:t>etc</w:t>
      </w:r>
      <w:proofErr w:type="spellEnd"/>
      <w:r>
        <w:t xml:space="preserve"> are not disturbed</w:t>
      </w:r>
      <w:r w:rsidR="00515280">
        <w:t xml:space="preserve"> or damaged</w:t>
      </w:r>
      <w:r>
        <w:t xml:space="preserve"> during excavation works.</w:t>
      </w:r>
    </w:p>
    <w:p w14:paraId="5E76D293" w14:textId="77777777" w:rsidR="006F067F" w:rsidRDefault="006F067F">
      <w:pPr>
        <w:pStyle w:val="BodyText"/>
      </w:pPr>
    </w:p>
    <w:p w14:paraId="0F7948D7" w14:textId="77777777" w:rsidR="006F067F" w:rsidRDefault="00F45624">
      <w:pPr>
        <w:pStyle w:val="Heading2"/>
        <w:spacing w:before="1"/>
      </w:pPr>
      <w:r>
        <w:t>Process</w:t>
      </w:r>
    </w:p>
    <w:p w14:paraId="3AEC281D" w14:textId="77777777" w:rsidR="006F067F" w:rsidRDefault="00F45624">
      <w:pPr>
        <w:pStyle w:val="ListParagraph"/>
        <w:numPr>
          <w:ilvl w:val="0"/>
          <w:numId w:val="5"/>
        </w:numPr>
        <w:tabs>
          <w:tab w:val="left" w:pos="932"/>
          <w:tab w:val="left" w:pos="933"/>
        </w:tabs>
        <w:rPr>
          <w:rFonts w:ascii="Symbol" w:hAnsi="Symbol"/>
          <w:sz w:val="20"/>
        </w:rPr>
      </w:pPr>
      <w:r>
        <w:t>All service utilities are required to maintain records of their underground</w:t>
      </w:r>
      <w:r>
        <w:rPr>
          <w:spacing w:val="-13"/>
        </w:rPr>
        <w:t xml:space="preserve"> </w:t>
      </w:r>
      <w:r>
        <w:t>services.</w:t>
      </w:r>
    </w:p>
    <w:p w14:paraId="10CBA95E" w14:textId="3521C3F6" w:rsidR="006F067F" w:rsidRPr="00153C91" w:rsidRDefault="00F45624">
      <w:pPr>
        <w:pStyle w:val="ListParagraph"/>
        <w:numPr>
          <w:ilvl w:val="0"/>
          <w:numId w:val="5"/>
        </w:numPr>
        <w:tabs>
          <w:tab w:val="left" w:pos="932"/>
          <w:tab w:val="left" w:pos="933"/>
        </w:tabs>
        <w:spacing w:before="2" w:line="237" w:lineRule="auto"/>
        <w:ind w:right="221"/>
        <w:rPr>
          <w:rFonts w:ascii="Symbol" w:hAnsi="Symbol"/>
          <w:sz w:val="20"/>
        </w:rPr>
      </w:pPr>
      <w:r>
        <w:t xml:space="preserve">When planning a job requiring drilling or ripping, a complete record search must be undertaken by lodging an enquiry with </w:t>
      </w:r>
      <w:r w:rsidR="00497CD1">
        <w:t>‘</w:t>
      </w:r>
      <w:r w:rsidR="007D55A9">
        <w:t>Before You Dig Australia</w:t>
      </w:r>
      <w:r w:rsidR="00497CD1">
        <w:t>’</w:t>
      </w:r>
      <w:r>
        <w:t>.</w:t>
      </w:r>
    </w:p>
    <w:p w14:paraId="2DE48EFC" w14:textId="623AF384" w:rsidR="00153C91" w:rsidRDefault="00D91A8B" w:rsidP="001E2147">
      <w:pPr>
        <w:pStyle w:val="ListParagraph"/>
        <w:numPr>
          <w:ilvl w:val="0"/>
          <w:numId w:val="6"/>
        </w:numPr>
        <w:tabs>
          <w:tab w:val="left" w:pos="932"/>
          <w:tab w:val="left" w:pos="933"/>
        </w:tabs>
        <w:spacing w:before="2" w:line="237" w:lineRule="auto"/>
        <w:ind w:right="221"/>
        <w:rPr>
          <w:rFonts w:asciiTheme="minorHAnsi" w:hAnsiTheme="minorHAnsi" w:cstheme="minorHAnsi"/>
        </w:rPr>
      </w:pPr>
      <w:r w:rsidRPr="00D91A8B">
        <w:rPr>
          <w:rFonts w:ascii="Symbol" w:hAnsi="Symbol"/>
          <w:sz w:val="20"/>
        </w:rPr>
        <w:tab/>
      </w:r>
      <w:r w:rsidRPr="001E2147">
        <w:rPr>
          <w:rFonts w:asciiTheme="minorHAnsi" w:hAnsiTheme="minorHAnsi" w:cstheme="minorHAnsi"/>
        </w:rPr>
        <w:t>Lodging an enquiry with ‘Before You Dig Australia’ is as simple as</w:t>
      </w:r>
      <w:r w:rsidR="00ED61E4" w:rsidRPr="001E2147">
        <w:rPr>
          <w:rFonts w:asciiTheme="minorHAnsi" w:hAnsiTheme="minorHAnsi" w:cstheme="minorHAnsi"/>
        </w:rPr>
        <w:t xml:space="preserve"> </w:t>
      </w:r>
      <w:r w:rsidR="00F5498F">
        <w:rPr>
          <w:rFonts w:asciiTheme="minorHAnsi" w:hAnsiTheme="minorHAnsi" w:cstheme="minorHAnsi"/>
        </w:rPr>
        <w:t xml:space="preserve">making a </w:t>
      </w:r>
      <w:r w:rsidR="005800F8">
        <w:rPr>
          <w:rFonts w:asciiTheme="minorHAnsi" w:hAnsiTheme="minorHAnsi" w:cstheme="minorHAnsi"/>
        </w:rPr>
        <w:t xml:space="preserve">free </w:t>
      </w:r>
      <w:r w:rsidR="001E2147" w:rsidRPr="001E2147">
        <w:rPr>
          <w:rFonts w:asciiTheme="minorHAnsi" w:hAnsiTheme="minorHAnsi" w:cstheme="minorHAnsi"/>
        </w:rPr>
        <w:t>request</w:t>
      </w:r>
      <w:r w:rsidR="00BA520A">
        <w:rPr>
          <w:rFonts w:asciiTheme="minorHAnsi" w:hAnsiTheme="minorHAnsi" w:cstheme="minorHAnsi"/>
        </w:rPr>
        <w:t xml:space="preserve"> </w:t>
      </w:r>
      <w:r w:rsidR="002344BF">
        <w:rPr>
          <w:rFonts w:asciiTheme="minorHAnsi" w:hAnsiTheme="minorHAnsi" w:cstheme="minorHAnsi"/>
        </w:rPr>
        <w:t>via</w:t>
      </w:r>
      <w:r w:rsidR="00F64EFF">
        <w:rPr>
          <w:rFonts w:asciiTheme="minorHAnsi" w:hAnsiTheme="minorHAnsi" w:cstheme="minorHAnsi"/>
        </w:rPr>
        <w:t xml:space="preserve"> </w:t>
      </w:r>
    </w:p>
    <w:p w14:paraId="1A6A0D44" w14:textId="29F11B8F" w:rsidR="00DF643B" w:rsidRPr="001E2147" w:rsidRDefault="00DF643B" w:rsidP="00DF643B">
      <w:pPr>
        <w:pStyle w:val="ListParagraph"/>
        <w:tabs>
          <w:tab w:val="left" w:pos="932"/>
          <w:tab w:val="left" w:pos="933"/>
        </w:tabs>
        <w:spacing w:before="2" w:line="237" w:lineRule="auto"/>
        <w:ind w:right="221" w:firstLine="0"/>
        <w:rPr>
          <w:rFonts w:asciiTheme="minorHAnsi" w:hAnsiTheme="minorHAnsi" w:cstheme="minorHAnsi"/>
        </w:rPr>
      </w:pPr>
      <w:hyperlink r:id="rId8" w:history="1">
        <w:r w:rsidRPr="00BD2765">
          <w:rPr>
            <w:rStyle w:val="Hyperlink"/>
            <w:rFonts w:asciiTheme="minorHAnsi" w:hAnsiTheme="minorHAnsi" w:cstheme="minorHAnsi"/>
          </w:rPr>
          <w:t>https://www.byda.com.au/</w:t>
        </w:r>
      </w:hyperlink>
      <w:r>
        <w:rPr>
          <w:rFonts w:asciiTheme="minorHAnsi" w:hAnsiTheme="minorHAnsi" w:cstheme="minorHAnsi"/>
        </w:rPr>
        <w:t xml:space="preserve"> </w:t>
      </w:r>
    </w:p>
    <w:p w14:paraId="702D43E7" w14:textId="6476FAAC" w:rsidR="006F067F" w:rsidRDefault="00F45624">
      <w:pPr>
        <w:pStyle w:val="ListParagraph"/>
        <w:numPr>
          <w:ilvl w:val="0"/>
          <w:numId w:val="5"/>
        </w:numPr>
        <w:tabs>
          <w:tab w:val="left" w:pos="932"/>
          <w:tab w:val="left" w:pos="933"/>
        </w:tabs>
        <w:spacing w:before="2"/>
        <w:rPr>
          <w:rFonts w:ascii="Symbol" w:hAnsi="Symbol"/>
          <w:sz w:val="20"/>
        </w:rPr>
      </w:pPr>
      <w:r>
        <w:t>Asset owners who are not members of this service must also be</w:t>
      </w:r>
      <w:r>
        <w:rPr>
          <w:spacing w:val="-10"/>
        </w:rPr>
        <w:t xml:space="preserve"> </w:t>
      </w:r>
      <w:r>
        <w:t>contacted</w:t>
      </w:r>
      <w:r w:rsidR="007D55A9">
        <w:t xml:space="preserve"> directly</w:t>
      </w:r>
      <w:r>
        <w:t>.</w:t>
      </w:r>
    </w:p>
    <w:p w14:paraId="1392DD12" w14:textId="77777777" w:rsidR="006F067F" w:rsidRPr="00CF6E3F" w:rsidRDefault="00F45624">
      <w:pPr>
        <w:pStyle w:val="ListParagraph"/>
        <w:numPr>
          <w:ilvl w:val="0"/>
          <w:numId w:val="5"/>
        </w:numPr>
        <w:tabs>
          <w:tab w:val="left" w:pos="932"/>
          <w:tab w:val="left" w:pos="933"/>
        </w:tabs>
        <w:ind w:right="223"/>
        <w:rPr>
          <w:rFonts w:ascii="Symbol" w:hAnsi="Symbol"/>
          <w:sz w:val="20"/>
        </w:rPr>
      </w:pPr>
      <w:r>
        <w:t xml:space="preserve">Many risks associated with working near existing underground services can be </w:t>
      </w:r>
      <w:proofErr w:type="spellStart"/>
      <w:r>
        <w:t>minimised</w:t>
      </w:r>
      <w:proofErr w:type="spellEnd"/>
      <w:r>
        <w:t xml:space="preserve"> at the project planning</w:t>
      </w:r>
      <w:r>
        <w:rPr>
          <w:spacing w:val="-2"/>
        </w:rPr>
        <w:t xml:space="preserve"> </w:t>
      </w:r>
      <w:r>
        <w:t>stage.</w:t>
      </w:r>
    </w:p>
    <w:p w14:paraId="634E17FC" w14:textId="4BC97D4E" w:rsidR="00CF6E3F" w:rsidRDefault="00CF6E3F">
      <w:pPr>
        <w:pStyle w:val="ListParagraph"/>
        <w:numPr>
          <w:ilvl w:val="0"/>
          <w:numId w:val="5"/>
        </w:numPr>
        <w:tabs>
          <w:tab w:val="left" w:pos="932"/>
          <w:tab w:val="left" w:pos="933"/>
        </w:tabs>
        <w:ind w:right="223"/>
        <w:rPr>
          <w:rFonts w:ascii="Symbol" w:hAnsi="Symbol"/>
          <w:sz w:val="20"/>
        </w:rPr>
      </w:pPr>
      <w:r w:rsidRPr="008C700B">
        <w:rPr>
          <w:b/>
          <w:bCs/>
        </w:rPr>
        <w:t>Tas</w:t>
      </w:r>
      <w:r w:rsidR="00FA1560" w:rsidRPr="008C700B">
        <w:rPr>
          <w:b/>
          <w:bCs/>
        </w:rPr>
        <w:t xml:space="preserve"> Gas</w:t>
      </w:r>
      <w:r w:rsidR="00FA1560">
        <w:t xml:space="preserve"> will contact the request applicant</w:t>
      </w:r>
      <w:r w:rsidR="0039099D">
        <w:t xml:space="preserve"> if the proposed excavation site is within striking distance of their strategi</w:t>
      </w:r>
      <w:r w:rsidR="008C700B">
        <w:t>c s</w:t>
      </w:r>
      <w:r w:rsidR="00E420A0">
        <w:t>upply s</w:t>
      </w:r>
      <w:r w:rsidR="008C700B">
        <w:t>ervices</w:t>
      </w:r>
      <w:r w:rsidR="00F84629">
        <w:t xml:space="preserve"> (and will sometimes meet on site </w:t>
      </w:r>
      <w:r w:rsidR="00226A8D">
        <w:t>to markup their assets)</w:t>
      </w:r>
      <w:r w:rsidR="008C700B">
        <w:t>.</w:t>
      </w:r>
    </w:p>
    <w:p w14:paraId="6A0ADE0D" w14:textId="084B5B2D" w:rsidR="006F067F" w:rsidRPr="008137ED" w:rsidRDefault="00F45624" w:rsidP="00153C91">
      <w:pPr>
        <w:pStyle w:val="ListParagraph"/>
        <w:numPr>
          <w:ilvl w:val="0"/>
          <w:numId w:val="5"/>
        </w:numPr>
        <w:tabs>
          <w:tab w:val="left" w:pos="932"/>
          <w:tab w:val="left" w:pos="933"/>
        </w:tabs>
        <w:spacing w:before="1"/>
        <w:ind w:right="302"/>
        <w:rPr>
          <w:rFonts w:ascii="Symbol" w:hAnsi="Symbol"/>
          <w:sz w:val="20"/>
        </w:rPr>
      </w:pPr>
      <w:r>
        <w:t>Once the records are obtained, they should remain in the work area and be accessible to</w:t>
      </w:r>
      <w:r w:rsidRPr="008137ED">
        <w:rPr>
          <w:spacing w:val="-19"/>
        </w:rPr>
        <w:t xml:space="preserve"> </w:t>
      </w:r>
      <w:r>
        <w:t>all.</w:t>
      </w:r>
    </w:p>
    <w:p w14:paraId="3DF57FE6" w14:textId="77777777" w:rsidR="006F067F" w:rsidRDefault="00F45624">
      <w:pPr>
        <w:pStyle w:val="ListParagraph"/>
        <w:numPr>
          <w:ilvl w:val="0"/>
          <w:numId w:val="5"/>
        </w:numPr>
        <w:tabs>
          <w:tab w:val="left" w:pos="933"/>
        </w:tabs>
        <w:ind w:right="221"/>
        <w:jc w:val="both"/>
        <w:rPr>
          <w:rFonts w:ascii="Symbol" w:hAnsi="Symbol"/>
          <w:sz w:val="20"/>
        </w:rPr>
      </w:pPr>
      <w:r>
        <w:t>When carrying out emergency work, every effort should be made to obtain records as soon as possible. If work must commence prior to the records being obtained, it should be carried out on the basis that underground services are present. When an asset location is requested, asset owners may provide information on the recommended practices for work near that location or</w:t>
      </w:r>
      <w:r>
        <w:rPr>
          <w:spacing w:val="-15"/>
        </w:rPr>
        <w:t xml:space="preserve"> </w:t>
      </w:r>
      <w:r>
        <w:t>service.</w:t>
      </w:r>
    </w:p>
    <w:p w14:paraId="0E3878F8" w14:textId="13001C36" w:rsidR="006F067F" w:rsidRDefault="00F45624">
      <w:pPr>
        <w:pStyle w:val="ListParagraph"/>
        <w:numPr>
          <w:ilvl w:val="0"/>
          <w:numId w:val="5"/>
        </w:numPr>
        <w:tabs>
          <w:tab w:val="left" w:pos="932"/>
          <w:tab w:val="left" w:pos="933"/>
        </w:tabs>
        <w:ind w:right="222"/>
        <w:rPr>
          <w:rFonts w:ascii="Symbol" w:hAnsi="Symbol"/>
          <w:sz w:val="20"/>
        </w:rPr>
      </w:pPr>
      <w:r>
        <w:t xml:space="preserve">Before undertaking an excavation in any street or footway, approval from the authorities and asset owners involved </w:t>
      </w:r>
      <w:r w:rsidR="00654AF7">
        <w:t>must</w:t>
      </w:r>
      <w:r>
        <w:t xml:space="preserve"> be</w:t>
      </w:r>
      <w:r>
        <w:rPr>
          <w:spacing w:val="-5"/>
        </w:rPr>
        <w:t xml:space="preserve"> </w:t>
      </w:r>
      <w:r>
        <w:t>obtained.</w:t>
      </w:r>
    </w:p>
    <w:p w14:paraId="3EB349AA" w14:textId="2E19ACEC" w:rsidR="006F067F" w:rsidRDefault="00F45624">
      <w:pPr>
        <w:pStyle w:val="ListParagraph"/>
        <w:numPr>
          <w:ilvl w:val="0"/>
          <w:numId w:val="5"/>
        </w:numPr>
        <w:tabs>
          <w:tab w:val="left" w:pos="933"/>
        </w:tabs>
        <w:spacing w:before="1"/>
        <w:ind w:right="220"/>
        <w:jc w:val="both"/>
        <w:rPr>
          <w:rFonts w:ascii="Symbol" w:hAnsi="Symbol"/>
          <w:sz w:val="20"/>
        </w:rPr>
      </w:pPr>
      <w:r>
        <w:t xml:space="preserve">For works on public lands, some utility/service providers, e.g. the Roads Authority (i.e. the Local Council, or State Roads.) may have approval processes in place as a result of legislation or </w:t>
      </w:r>
      <w:r w:rsidR="008500BA">
        <w:t>established agreements</w:t>
      </w:r>
      <w:r>
        <w:t>. Where any exemptions apply, the Roads Authority</w:t>
      </w:r>
      <w:r w:rsidR="00C92777">
        <w:t xml:space="preserve">, State Growth, </w:t>
      </w:r>
      <w:r w:rsidR="00FC1E02">
        <w:t>the local Council</w:t>
      </w:r>
      <w:r>
        <w:t xml:space="preserve"> or other entities may still require notification of the</w:t>
      </w:r>
      <w:r>
        <w:rPr>
          <w:spacing w:val="-3"/>
        </w:rPr>
        <w:t xml:space="preserve"> </w:t>
      </w:r>
      <w:r>
        <w:t>works.</w:t>
      </w:r>
    </w:p>
    <w:p w14:paraId="7F1DD3CC" w14:textId="44071FD1" w:rsidR="006F067F" w:rsidRDefault="00F45624">
      <w:pPr>
        <w:pStyle w:val="ListParagraph"/>
        <w:numPr>
          <w:ilvl w:val="0"/>
          <w:numId w:val="5"/>
        </w:numPr>
        <w:tabs>
          <w:tab w:val="left" w:pos="933"/>
        </w:tabs>
        <w:ind w:right="222"/>
        <w:jc w:val="both"/>
        <w:rPr>
          <w:rFonts w:ascii="Symbol" w:hAnsi="Symbol"/>
          <w:sz w:val="20"/>
        </w:rPr>
      </w:pPr>
      <w:r>
        <w:t>A critical part of planning safe systems of work is the validation of records at the work site - With some services installed over 60 years ago, it is likely that changes would have been made to the surface of the land at some stage. Road widening and regrading of surfaces are common causes for inaccuracies in records. For this reason, when working from old records, pipe and cable locating devices</w:t>
      </w:r>
      <w:r w:rsidR="006244FA">
        <w:t xml:space="preserve"> or third-</w:t>
      </w:r>
      <w:r w:rsidR="00D04F9D">
        <w:t xml:space="preserve">party locating services </w:t>
      </w:r>
      <w:r>
        <w:t>should be used. Any inaccuracies in records should be notified to the relevant</w:t>
      </w:r>
      <w:r>
        <w:rPr>
          <w:spacing w:val="-10"/>
        </w:rPr>
        <w:t xml:space="preserve"> </w:t>
      </w:r>
      <w:r>
        <w:t>authority.</w:t>
      </w:r>
    </w:p>
    <w:p w14:paraId="36533F88" w14:textId="77777777" w:rsidR="006F067F" w:rsidRDefault="00F45624">
      <w:pPr>
        <w:pStyle w:val="ListParagraph"/>
        <w:numPr>
          <w:ilvl w:val="0"/>
          <w:numId w:val="5"/>
        </w:numPr>
        <w:tabs>
          <w:tab w:val="left" w:pos="932"/>
          <w:tab w:val="left" w:pos="933"/>
        </w:tabs>
        <w:ind w:right="228"/>
        <w:rPr>
          <w:rFonts w:ascii="Symbol" w:hAnsi="Symbol"/>
          <w:sz w:val="20"/>
        </w:rPr>
      </w:pPr>
      <w:r>
        <w:t>Utility companies typically require notification and approval of a major project or where the project may require supply of a service or product outside normal residential</w:t>
      </w:r>
      <w:r>
        <w:rPr>
          <w:spacing w:val="-12"/>
        </w:rPr>
        <w:t xml:space="preserve"> </w:t>
      </w:r>
      <w:r>
        <w:t>demand.</w:t>
      </w:r>
    </w:p>
    <w:p w14:paraId="32B91927" w14:textId="77777777" w:rsidR="006F067F" w:rsidRDefault="00F45624">
      <w:pPr>
        <w:pStyle w:val="ListParagraph"/>
        <w:numPr>
          <w:ilvl w:val="0"/>
          <w:numId w:val="5"/>
        </w:numPr>
        <w:tabs>
          <w:tab w:val="left" w:pos="932"/>
          <w:tab w:val="left" w:pos="933"/>
        </w:tabs>
        <w:ind w:right="224"/>
        <w:rPr>
          <w:rFonts w:ascii="Symbol" w:hAnsi="Symbol"/>
          <w:sz w:val="20"/>
        </w:rPr>
      </w:pPr>
      <w:r>
        <w:t xml:space="preserve">At the project planning stage, it is important to consider </w:t>
      </w:r>
      <w:proofErr w:type="spellStart"/>
      <w:r>
        <w:t>minimising</w:t>
      </w:r>
      <w:proofErr w:type="spellEnd"/>
      <w:r>
        <w:t xml:space="preserve"> damage to surface infrastructure and disruption of services to residents, pedestrians and</w:t>
      </w:r>
      <w:r>
        <w:rPr>
          <w:spacing w:val="-7"/>
        </w:rPr>
        <w:t xml:space="preserve"> </w:t>
      </w:r>
      <w:r>
        <w:t>traffic.</w:t>
      </w:r>
    </w:p>
    <w:p w14:paraId="0206B15B" w14:textId="77777777" w:rsidR="006F067F" w:rsidRDefault="00F45624">
      <w:pPr>
        <w:pStyle w:val="ListParagraph"/>
        <w:numPr>
          <w:ilvl w:val="0"/>
          <w:numId w:val="5"/>
        </w:numPr>
        <w:tabs>
          <w:tab w:val="left" w:pos="932"/>
          <w:tab w:val="left" w:pos="933"/>
        </w:tabs>
        <w:ind w:right="220"/>
        <w:rPr>
          <w:rFonts w:ascii="Symbol" w:hAnsi="Symbol"/>
          <w:sz w:val="20"/>
        </w:rPr>
      </w:pPr>
      <w:r>
        <w:t>Any construction or maintenance technique should ensure adequate clearances are maintained between services and that other services crossings are</w:t>
      </w:r>
      <w:r>
        <w:rPr>
          <w:spacing w:val="-10"/>
        </w:rPr>
        <w:t xml:space="preserve"> </w:t>
      </w:r>
      <w:r>
        <w:t>identified.</w:t>
      </w:r>
    </w:p>
    <w:p w14:paraId="7513BD0B" w14:textId="06A17453" w:rsidR="006F067F" w:rsidRPr="00497CD1" w:rsidRDefault="00F45624" w:rsidP="00497CD1">
      <w:pPr>
        <w:pStyle w:val="ListParagraph"/>
        <w:numPr>
          <w:ilvl w:val="0"/>
          <w:numId w:val="5"/>
        </w:numPr>
        <w:tabs>
          <w:tab w:val="left" w:pos="932"/>
          <w:tab w:val="left" w:pos="933"/>
        </w:tabs>
        <w:ind w:right="224"/>
        <w:rPr>
          <w:rFonts w:ascii="Symbol" w:hAnsi="Symbol"/>
          <w:sz w:val="20"/>
        </w:rPr>
        <w:sectPr w:rsidR="006F067F" w:rsidRPr="00497CD1">
          <w:headerReference w:type="default" r:id="rId9"/>
          <w:footerReference w:type="default" r:id="rId10"/>
          <w:type w:val="continuous"/>
          <w:pgSz w:w="11910" w:h="16840"/>
          <w:pgMar w:top="1900" w:right="340" w:bottom="720" w:left="920" w:header="224" w:footer="524" w:gutter="0"/>
          <w:pgNumType w:start="1"/>
          <w:cols w:space="720"/>
        </w:sectPr>
      </w:pPr>
      <w:r>
        <w:t>Consideration should also be given to the appropriate level of supervision and training, including specific industry awareness training, for an individual undertaking work near any gas or electrical</w:t>
      </w:r>
      <w:r w:rsidRPr="00497CD1">
        <w:rPr>
          <w:spacing w:val="-21"/>
        </w:rPr>
        <w:t xml:space="preserve"> </w:t>
      </w:r>
      <w:r>
        <w:t>assets.</w:t>
      </w:r>
    </w:p>
    <w:p w14:paraId="38EE2A83" w14:textId="77777777" w:rsidR="006F067F" w:rsidRDefault="00F45624">
      <w:pPr>
        <w:pStyle w:val="Heading2"/>
        <w:spacing w:before="56"/>
      </w:pPr>
      <w:r>
        <w:lastRenderedPageBreak/>
        <w:t xml:space="preserve">Working near </w:t>
      </w:r>
      <w:proofErr w:type="spellStart"/>
      <w:r>
        <w:t>TasNetworks</w:t>
      </w:r>
      <w:proofErr w:type="spellEnd"/>
      <w:r>
        <w:t>’ ground mounted infrastructure and underground power cables</w:t>
      </w:r>
    </w:p>
    <w:p w14:paraId="23E1B7A9" w14:textId="77777777" w:rsidR="006F067F" w:rsidRDefault="00F45624">
      <w:pPr>
        <w:pStyle w:val="BodyText"/>
        <w:spacing w:before="120"/>
        <w:ind w:left="213" w:right="399"/>
        <w:jc w:val="both"/>
      </w:pPr>
      <w:proofErr w:type="spellStart"/>
      <w:r>
        <w:t>TasNetworks</w:t>
      </w:r>
      <w:proofErr w:type="spellEnd"/>
      <w:r>
        <w:t>’ electricity network also uses ‘ground mounted’ assets, including high voltage substations, electrical cabinets and electrical turrets (photographs of typical examples of these assets are provided in Appendix A).</w:t>
      </w:r>
    </w:p>
    <w:p w14:paraId="254FA098" w14:textId="33BE36D5" w:rsidR="006F067F" w:rsidRDefault="00F45624">
      <w:pPr>
        <w:pStyle w:val="BodyText"/>
        <w:spacing w:before="118"/>
        <w:ind w:left="215" w:right="401" w:hanging="1"/>
        <w:jc w:val="both"/>
      </w:pPr>
      <w:proofErr w:type="spellStart"/>
      <w:r>
        <w:t>TasNetworks</w:t>
      </w:r>
      <w:proofErr w:type="spellEnd"/>
      <w:r>
        <w:t xml:space="preserve"> also has an extensive underground distribution network of </w:t>
      </w:r>
      <w:r w:rsidR="007670FD">
        <w:t xml:space="preserve">cables </w:t>
      </w:r>
      <w:r w:rsidR="00B04A38">
        <w:t>operating at both</w:t>
      </w:r>
      <w:r>
        <w:t xml:space="preserve">  high  voltage and low</w:t>
      </w:r>
      <w:r>
        <w:rPr>
          <w:spacing w:val="-7"/>
        </w:rPr>
        <w:t xml:space="preserve"> </w:t>
      </w:r>
      <w:r>
        <w:t>voltage.</w:t>
      </w:r>
    </w:p>
    <w:p w14:paraId="7AD0A4A8" w14:textId="4602465F" w:rsidR="006F067F" w:rsidRDefault="00F45624" w:rsidP="00CC1F67">
      <w:pPr>
        <w:pStyle w:val="BodyText"/>
        <w:spacing w:before="125" w:line="237" w:lineRule="auto"/>
        <w:ind w:left="216" w:right="393" w:hanging="1"/>
      </w:pPr>
      <w:r>
        <w:t xml:space="preserve">Contractors planning underground work must contact </w:t>
      </w:r>
      <w:r w:rsidR="00AE06BD">
        <w:t xml:space="preserve">‘Before You Dig Australia’ at </w:t>
      </w:r>
      <w:hyperlink r:id="rId11" w:history="1">
        <w:r w:rsidR="00CC1F67" w:rsidRPr="00BD2765">
          <w:rPr>
            <w:rStyle w:val="Hyperlink"/>
          </w:rPr>
          <w:t>https://www.byda.com.au</w:t>
        </w:r>
      </w:hyperlink>
      <w:r w:rsidR="00CC1F67">
        <w:t xml:space="preserve">  </w:t>
      </w:r>
      <w:r>
        <w:rPr>
          <w:b/>
        </w:rPr>
        <w:t>before commencing work</w:t>
      </w:r>
      <w:r>
        <w:t xml:space="preserve">. A response will be provided on whether </w:t>
      </w:r>
      <w:proofErr w:type="spellStart"/>
      <w:r>
        <w:t>TasNetworks</w:t>
      </w:r>
      <w:proofErr w:type="spellEnd"/>
      <w:r>
        <w:t xml:space="preserve"> ‘Does’ or ‘Does NOT’ have a record </w:t>
      </w:r>
      <w:r w:rsidR="00CC1F67">
        <w:t>of infrastructure</w:t>
      </w:r>
      <w:r>
        <w:t xml:space="preserve"> in the location of the proposed works provided by the</w:t>
      </w:r>
      <w:r>
        <w:rPr>
          <w:spacing w:val="-19"/>
        </w:rPr>
        <w:t xml:space="preserve"> </w:t>
      </w:r>
      <w:r>
        <w:t>Contractor.</w:t>
      </w:r>
    </w:p>
    <w:p w14:paraId="3149BF23" w14:textId="77777777" w:rsidR="006F067F" w:rsidRDefault="00F45624">
      <w:pPr>
        <w:pStyle w:val="BodyText"/>
        <w:spacing w:before="122"/>
        <w:ind w:left="214" w:right="398" w:hanging="2"/>
        <w:jc w:val="both"/>
      </w:pPr>
      <w:r>
        <w:t xml:space="preserve">If </w:t>
      </w:r>
      <w:proofErr w:type="spellStart"/>
      <w:r>
        <w:t>TasNetworks</w:t>
      </w:r>
      <w:proofErr w:type="spellEnd"/>
      <w:r>
        <w:t xml:space="preserve"> does have a record of infrastructure at the location of the proposed works, then the Contractor should use a cable location service to accurately identify the location of the infrastructure.</w:t>
      </w:r>
    </w:p>
    <w:p w14:paraId="75367029" w14:textId="77777777" w:rsidR="006F067F" w:rsidRDefault="00F45624">
      <w:pPr>
        <w:pStyle w:val="BodyText"/>
        <w:spacing w:before="121"/>
        <w:ind w:left="215" w:right="399" w:hanging="1"/>
        <w:jc w:val="both"/>
      </w:pPr>
      <w:proofErr w:type="spellStart"/>
      <w:r>
        <w:t>TasNetworks</w:t>
      </w:r>
      <w:proofErr w:type="spellEnd"/>
      <w:r>
        <w:t xml:space="preserve"> must be notified by contacting </w:t>
      </w:r>
      <w:r>
        <w:rPr>
          <w:b/>
        </w:rPr>
        <w:t xml:space="preserve">1300 137 008 </w:t>
      </w:r>
      <w:r>
        <w:t>at least 7 days in prior to the commencement of the works if:</w:t>
      </w:r>
    </w:p>
    <w:p w14:paraId="4479DBEA" w14:textId="77777777" w:rsidR="006F067F" w:rsidRDefault="00F45624">
      <w:pPr>
        <w:pStyle w:val="ListParagraph"/>
        <w:numPr>
          <w:ilvl w:val="0"/>
          <w:numId w:val="4"/>
        </w:numPr>
        <w:tabs>
          <w:tab w:val="left" w:pos="937"/>
        </w:tabs>
        <w:spacing w:before="118"/>
        <w:ind w:hanging="360"/>
      </w:pPr>
      <w:r>
        <w:t>The</w:t>
      </w:r>
      <w:r>
        <w:rPr>
          <w:spacing w:val="9"/>
        </w:rPr>
        <w:t xml:space="preserve"> </w:t>
      </w:r>
      <w:r>
        <w:t>proposed</w:t>
      </w:r>
      <w:r>
        <w:rPr>
          <w:spacing w:val="3"/>
        </w:rPr>
        <w:t xml:space="preserve"> </w:t>
      </w:r>
      <w:r>
        <w:t>work</w:t>
      </w:r>
      <w:r>
        <w:rPr>
          <w:spacing w:val="9"/>
        </w:rPr>
        <w:t xml:space="preserve"> </w:t>
      </w:r>
      <w:r>
        <w:t>is</w:t>
      </w:r>
      <w:r>
        <w:rPr>
          <w:spacing w:val="4"/>
        </w:rPr>
        <w:t xml:space="preserve"> </w:t>
      </w:r>
      <w:r>
        <w:t>within</w:t>
      </w:r>
      <w:r>
        <w:rPr>
          <w:spacing w:val="8"/>
        </w:rPr>
        <w:t xml:space="preserve"> </w:t>
      </w:r>
      <w:r>
        <w:t>2</w:t>
      </w:r>
      <w:r>
        <w:rPr>
          <w:spacing w:val="-1"/>
        </w:rPr>
        <w:t xml:space="preserve"> </w:t>
      </w:r>
      <w:r>
        <w:t>m</w:t>
      </w:r>
      <w:r>
        <w:rPr>
          <w:spacing w:val="12"/>
        </w:rPr>
        <w:t xml:space="preserve"> </w:t>
      </w:r>
      <w:r>
        <w:t>of</w:t>
      </w:r>
      <w:r>
        <w:rPr>
          <w:spacing w:val="4"/>
        </w:rPr>
        <w:t xml:space="preserve"> </w:t>
      </w:r>
      <w:proofErr w:type="spellStart"/>
      <w:r>
        <w:t>TasNetworks</w:t>
      </w:r>
      <w:proofErr w:type="spellEnd"/>
      <w:r>
        <w:t>’</w:t>
      </w:r>
      <w:r>
        <w:rPr>
          <w:spacing w:val="9"/>
        </w:rPr>
        <w:t xml:space="preserve"> </w:t>
      </w:r>
      <w:r>
        <w:t>ground</w:t>
      </w:r>
      <w:r>
        <w:rPr>
          <w:spacing w:val="8"/>
        </w:rPr>
        <w:t xml:space="preserve"> </w:t>
      </w:r>
      <w:r>
        <w:t>mounted</w:t>
      </w:r>
      <w:r>
        <w:rPr>
          <w:spacing w:val="7"/>
        </w:rPr>
        <w:t xml:space="preserve"> </w:t>
      </w:r>
      <w:r>
        <w:t>assets</w:t>
      </w:r>
      <w:r>
        <w:rPr>
          <w:spacing w:val="9"/>
        </w:rPr>
        <w:t xml:space="preserve"> </w:t>
      </w:r>
      <w:r>
        <w:t>(refer</w:t>
      </w:r>
      <w:r>
        <w:rPr>
          <w:spacing w:val="4"/>
        </w:rPr>
        <w:t xml:space="preserve"> </w:t>
      </w:r>
      <w:r>
        <w:t>Appendix</w:t>
      </w:r>
      <w:r>
        <w:rPr>
          <w:spacing w:val="9"/>
        </w:rPr>
        <w:t xml:space="preserve"> </w:t>
      </w:r>
      <w:r>
        <w:rPr>
          <w:spacing w:val="-3"/>
        </w:rPr>
        <w:t>A);</w:t>
      </w:r>
    </w:p>
    <w:p w14:paraId="11F68623" w14:textId="77777777" w:rsidR="006F067F" w:rsidRDefault="00F45624">
      <w:pPr>
        <w:pStyle w:val="BodyText"/>
        <w:ind w:left="216"/>
      </w:pPr>
      <w:r>
        <w:t>or</w:t>
      </w:r>
    </w:p>
    <w:p w14:paraId="3984B64C" w14:textId="77777777" w:rsidR="006F067F" w:rsidRDefault="00F45624">
      <w:pPr>
        <w:pStyle w:val="ListParagraph"/>
        <w:numPr>
          <w:ilvl w:val="0"/>
          <w:numId w:val="4"/>
        </w:numPr>
        <w:tabs>
          <w:tab w:val="left" w:pos="938"/>
        </w:tabs>
        <w:ind w:left="937" w:right="217" w:hanging="360"/>
      </w:pPr>
      <w:r>
        <w:t xml:space="preserve">The proposed work is within 1 m of </w:t>
      </w:r>
      <w:proofErr w:type="spellStart"/>
      <w:r>
        <w:t>TasNetworks</w:t>
      </w:r>
      <w:proofErr w:type="spellEnd"/>
      <w:r>
        <w:t>’ underground assets, e.g. cables. The notification must provide details of the proposed work and the</w:t>
      </w:r>
      <w:r>
        <w:rPr>
          <w:spacing w:val="-15"/>
        </w:rPr>
        <w:t xml:space="preserve"> </w:t>
      </w:r>
      <w:r>
        <w:t>location.</w:t>
      </w:r>
    </w:p>
    <w:p w14:paraId="33524353" w14:textId="77777777" w:rsidR="006F067F" w:rsidRDefault="006F067F">
      <w:pPr>
        <w:pStyle w:val="BodyText"/>
        <w:spacing w:before="8"/>
        <w:rPr>
          <w:sz w:val="17"/>
        </w:rPr>
      </w:pPr>
    </w:p>
    <w:p w14:paraId="75ED8617" w14:textId="77777777" w:rsidR="006F067F" w:rsidRDefault="00F45624">
      <w:pPr>
        <w:pStyle w:val="BodyText"/>
        <w:spacing w:before="57"/>
        <w:ind w:left="214" w:right="780" w:hanging="2"/>
      </w:pPr>
      <w:proofErr w:type="spellStart"/>
      <w:r>
        <w:t>TasNetworks</w:t>
      </w:r>
      <w:proofErr w:type="spellEnd"/>
      <w:r>
        <w:t xml:space="preserve"> will provide a response as to whether the work can be undertaken and any requirements that must be adhered </w:t>
      </w:r>
      <w:r>
        <w:rPr>
          <w:spacing w:val="-3"/>
        </w:rPr>
        <w:t xml:space="preserve">to </w:t>
      </w:r>
      <w:r>
        <w:t>when undertaking the</w:t>
      </w:r>
      <w:r>
        <w:rPr>
          <w:spacing w:val="-6"/>
        </w:rPr>
        <w:t xml:space="preserve"> </w:t>
      </w:r>
      <w:r>
        <w:t>work.</w:t>
      </w:r>
    </w:p>
    <w:p w14:paraId="343E1060" w14:textId="77777777" w:rsidR="006F067F" w:rsidRDefault="006F067F">
      <w:pPr>
        <w:pStyle w:val="BodyText"/>
      </w:pPr>
    </w:p>
    <w:p w14:paraId="4C06FBA1" w14:textId="77777777" w:rsidR="006F067F" w:rsidRDefault="00F45624">
      <w:pPr>
        <w:pStyle w:val="BodyText"/>
        <w:ind w:left="214" w:right="400" w:hanging="1"/>
        <w:jc w:val="both"/>
      </w:pPr>
      <w:r>
        <w:t xml:space="preserve">Without prior written </w:t>
      </w:r>
      <w:proofErr w:type="spellStart"/>
      <w:r>
        <w:t>authorisation</w:t>
      </w:r>
      <w:proofErr w:type="spellEnd"/>
      <w:r>
        <w:t xml:space="preserve"> from </w:t>
      </w:r>
      <w:proofErr w:type="spellStart"/>
      <w:r>
        <w:t>TasNetworks</w:t>
      </w:r>
      <w:proofErr w:type="spellEnd"/>
      <w:r>
        <w:t xml:space="preserve"> the Contractor is not </w:t>
      </w:r>
      <w:proofErr w:type="spellStart"/>
      <w:r>
        <w:t>authorised</w:t>
      </w:r>
      <w:proofErr w:type="spellEnd"/>
      <w:r>
        <w:t xml:space="preserve"> to undertake the proposed work. Failure to comply with this requirement can lead to prosecution under the Electrical Supply Industry Act.</w:t>
      </w:r>
    </w:p>
    <w:p w14:paraId="42F037A4" w14:textId="77777777" w:rsidR="006F067F" w:rsidRDefault="006F067F">
      <w:pPr>
        <w:pStyle w:val="BodyText"/>
        <w:spacing w:before="10"/>
        <w:rPr>
          <w:sz w:val="21"/>
        </w:rPr>
      </w:pPr>
    </w:p>
    <w:p w14:paraId="1493547D" w14:textId="77777777" w:rsidR="006F067F" w:rsidRDefault="00F45624">
      <w:pPr>
        <w:pStyle w:val="BodyText"/>
        <w:spacing w:before="1"/>
        <w:ind w:left="214"/>
      </w:pPr>
      <w:r>
        <w:t xml:space="preserve">The Guidelines When Working near </w:t>
      </w:r>
      <w:proofErr w:type="spellStart"/>
      <w:r>
        <w:t>TasNetworks</w:t>
      </w:r>
      <w:proofErr w:type="spellEnd"/>
      <w:r>
        <w:t xml:space="preserve"> Electrical Assets (NW30394588) referenced below set out the requirements for working near Underground Powerlines.</w:t>
      </w:r>
    </w:p>
    <w:p w14:paraId="731D04F1" w14:textId="77777777" w:rsidR="006F067F" w:rsidRDefault="006F067F">
      <w:pPr>
        <w:pStyle w:val="BodyText"/>
      </w:pPr>
    </w:p>
    <w:p w14:paraId="3B5380F8" w14:textId="77777777" w:rsidR="006F067F" w:rsidRDefault="00F45624">
      <w:pPr>
        <w:pStyle w:val="Heading2"/>
        <w:ind w:left="214"/>
      </w:pPr>
      <w:r>
        <w:t xml:space="preserve">About </w:t>
      </w:r>
      <w:proofErr w:type="spellStart"/>
      <w:r>
        <w:t>TasNetworks</w:t>
      </w:r>
      <w:proofErr w:type="spellEnd"/>
    </w:p>
    <w:p w14:paraId="0D8787D5" w14:textId="77777777" w:rsidR="006F067F" w:rsidRDefault="00F45624">
      <w:pPr>
        <w:pStyle w:val="BodyText"/>
        <w:ind w:left="215" w:hanging="1"/>
      </w:pPr>
      <w:r>
        <w:t>Tasmanian Networks Pty Ltd (ACN 167 357 299) (‘</w:t>
      </w:r>
      <w:proofErr w:type="spellStart"/>
      <w:r>
        <w:t>TasNetworks</w:t>
      </w:r>
      <w:proofErr w:type="spellEnd"/>
      <w:r>
        <w:t>’) is the owner and operator of the regulated electricity network in Tasmania, with the exception of the Bass Strait Islands.</w:t>
      </w:r>
    </w:p>
    <w:p w14:paraId="2372B2C6" w14:textId="77777777" w:rsidR="006F067F" w:rsidRDefault="006F067F">
      <w:pPr>
        <w:pStyle w:val="BodyText"/>
        <w:spacing w:before="1"/>
      </w:pPr>
    </w:p>
    <w:p w14:paraId="024118D8" w14:textId="77777777" w:rsidR="006F067F" w:rsidRDefault="00F45624">
      <w:pPr>
        <w:pStyle w:val="Heading2"/>
        <w:ind w:left="215"/>
      </w:pPr>
      <w:r>
        <w:t>Who these guidelines apply to</w:t>
      </w:r>
    </w:p>
    <w:p w14:paraId="1662D1D1" w14:textId="77777777" w:rsidR="006F067F" w:rsidRDefault="00F45624">
      <w:pPr>
        <w:pStyle w:val="BodyText"/>
        <w:spacing w:before="1"/>
        <w:ind w:left="212" w:right="780"/>
      </w:pPr>
      <w:r>
        <w:t xml:space="preserve">These guidelines are </w:t>
      </w:r>
      <w:proofErr w:type="spellStart"/>
      <w:r>
        <w:t>TasNetworks</w:t>
      </w:r>
      <w:proofErr w:type="spellEnd"/>
      <w:r>
        <w:t xml:space="preserve">’ </w:t>
      </w:r>
      <w:r>
        <w:rPr>
          <w:b/>
        </w:rPr>
        <w:t xml:space="preserve">minimum requirements </w:t>
      </w:r>
      <w:r>
        <w:t xml:space="preserve">for when work is to be performed near </w:t>
      </w:r>
      <w:proofErr w:type="spellStart"/>
      <w:r>
        <w:t>TasNetworks</w:t>
      </w:r>
      <w:proofErr w:type="spellEnd"/>
      <w:r>
        <w:t xml:space="preserve">’ electricity network by third parties (persons not working for </w:t>
      </w:r>
      <w:proofErr w:type="spellStart"/>
      <w:r>
        <w:t>TasNetworks</w:t>
      </w:r>
      <w:proofErr w:type="spellEnd"/>
      <w:r>
        <w:t>), such as:</w:t>
      </w:r>
    </w:p>
    <w:p w14:paraId="6817ED02" w14:textId="77777777" w:rsidR="006F067F" w:rsidRDefault="00F45624">
      <w:pPr>
        <w:pStyle w:val="ListParagraph"/>
        <w:numPr>
          <w:ilvl w:val="0"/>
          <w:numId w:val="5"/>
        </w:numPr>
        <w:tabs>
          <w:tab w:val="left" w:pos="932"/>
          <w:tab w:val="left" w:pos="933"/>
        </w:tabs>
        <w:spacing w:line="278" w:lineRule="exact"/>
        <w:rPr>
          <w:rFonts w:ascii="Symbol" w:hAnsi="Symbol"/>
        </w:rPr>
      </w:pPr>
      <w:r>
        <w:t>Councils;</w:t>
      </w:r>
    </w:p>
    <w:p w14:paraId="78EC4B67" w14:textId="77777777" w:rsidR="006F067F" w:rsidRDefault="00F45624">
      <w:pPr>
        <w:pStyle w:val="ListParagraph"/>
        <w:numPr>
          <w:ilvl w:val="0"/>
          <w:numId w:val="5"/>
        </w:numPr>
        <w:tabs>
          <w:tab w:val="left" w:pos="932"/>
          <w:tab w:val="left" w:pos="933"/>
        </w:tabs>
        <w:spacing w:before="1"/>
        <w:rPr>
          <w:rFonts w:ascii="Symbol" w:hAnsi="Symbol"/>
        </w:rPr>
      </w:pPr>
      <w:r>
        <w:t xml:space="preserve">Contractors </w:t>
      </w:r>
      <w:r>
        <w:rPr>
          <w:spacing w:val="-3"/>
        </w:rPr>
        <w:t xml:space="preserve">to </w:t>
      </w:r>
      <w:r>
        <w:t>third</w:t>
      </w:r>
      <w:r>
        <w:rPr>
          <w:spacing w:val="3"/>
        </w:rPr>
        <w:t xml:space="preserve"> </w:t>
      </w:r>
      <w:r>
        <w:t>parties;</w:t>
      </w:r>
    </w:p>
    <w:p w14:paraId="1C159AEB" w14:textId="77777777" w:rsidR="006F067F" w:rsidRDefault="00F45624">
      <w:pPr>
        <w:pStyle w:val="ListParagraph"/>
        <w:numPr>
          <w:ilvl w:val="0"/>
          <w:numId w:val="5"/>
        </w:numPr>
        <w:tabs>
          <w:tab w:val="left" w:pos="932"/>
          <w:tab w:val="left" w:pos="933"/>
        </w:tabs>
        <w:rPr>
          <w:rFonts w:ascii="Symbol" w:hAnsi="Symbol"/>
        </w:rPr>
      </w:pPr>
      <w:r>
        <w:t>Other Infrastructure</w:t>
      </w:r>
      <w:r>
        <w:rPr>
          <w:spacing w:val="-3"/>
        </w:rPr>
        <w:t xml:space="preserve"> </w:t>
      </w:r>
      <w:r>
        <w:t>Owners;</w:t>
      </w:r>
    </w:p>
    <w:p w14:paraId="03E4DD73" w14:textId="77777777" w:rsidR="006F067F" w:rsidRDefault="00F45624">
      <w:pPr>
        <w:pStyle w:val="ListParagraph"/>
        <w:numPr>
          <w:ilvl w:val="0"/>
          <w:numId w:val="5"/>
        </w:numPr>
        <w:tabs>
          <w:tab w:val="left" w:pos="933"/>
          <w:tab w:val="left" w:pos="934"/>
        </w:tabs>
        <w:spacing w:before="1"/>
        <w:ind w:left="933"/>
        <w:rPr>
          <w:rFonts w:ascii="Symbol" w:hAnsi="Symbol"/>
        </w:rPr>
      </w:pPr>
      <w:r>
        <w:t xml:space="preserve">Land owners where </w:t>
      </w:r>
      <w:proofErr w:type="spellStart"/>
      <w:r>
        <w:t>TasNetworks</w:t>
      </w:r>
      <w:proofErr w:type="spellEnd"/>
      <w:r>
        <w:t>’ electrical assets cross their property;</w:t>
      </w:r>
      <w:r>
        <w:rPr>
          <w:spacing w:val="-13"/>
        </w:rPr>
        <w:t xml:space="preserve"> </w:t>
      </w:r>
      <w:r>
        <w:t>and</w:t>
      </w:r>
    </w:p>
    <w:p w14:paraId="7E104177" w14:textId="77777777" w:rsidR="006F067F" w:rsidRDefault="00F45624">
      <w:pPr>
        <w:pStyle w:val="ListParagraph"/>
        <w:numPr>
          <w:ilvl w:val="0"/>
          <w:numId w:val="5"/>
        </w:numPr>
        <w:tabs>
          <w:tab w:val="left" w:pos="933"/>
          <w:tab w:val="left" w:pos="934"/>
        </w:tabs>
        <w:spacing w:before="3" w:line="237" w:lineRule="auto"/>
        <w:ind w:left="934" w:right="635" w:hanging="361"/>
        <w:rPr>
          <w:rFonts w:ascii="Symbol" w:hAnsi="Symbol"/>
        </w:rPr>
      </w:pPr>
      <w:r>
        <w:t xml:space="preserve">Any other persons who work in the vicinity of </w:t>
      </w:r>
      <w:proofErr w:type="spellStart"/>
      <w:r>
        <w:t>TasNetworks</w:t>
      </w:r>
      <w:proofErr w:type="spellEnd"/>
      <w:r>
        <w:t>’ electrical assets as or on behalf of a third party.</w:t>
      </w:r>
    </w:p>
    <w:p w14:paraId="50AC7761" w14:textId="77777777" w:rsidR="006F067F" w:rsidRDefault="00F45624">
      <w:pPr>
        <w:pStyle w:val="BodyText"/>
        <w:spacing w:before="1"/>
        <w:ind w:left="214" w:right="780" w:hanging="1"/>
      </w:pPr>
      <w:r>
        <w:t xml:space="preserve">For simplicity, councils, contractors to third parties, other infrastructure owners and other third parties working near </w:t>
      </w:r>
      <w:proofErr w:type="spellStart"/>
      <w:r>
        <w:t>TasNetworks</w:t>
      </w:r>
      <w:proofErr w:type="spellEnd"/>
      <w:r>
        <w:t>’ electrical assets are referred to as ‘Contractors’ in this document.</w:t>
      </w:r>
    </w:p>
    <w:p w14:paraId="036C958A" w14:textId="77777777" w:rsidR="006F067F" w:rsidRDefault="006F067F">
      <w:pPr>
        <w:sectPr w:rsidR="006F067F">
          <w:pgSz w:w="11910" w:h="16840"/>
          <w:pgMar w:top="1900" w:right="340" w:bottom="720" w:left="920" w:header="224" w:footer="524" w:gutter="0"/>
          <w:cols w:space="720"/>
        </w:sectPr>
      </w:pPr>
    </w:p>
    <w:p w14:paraId="7497E0AE" w14:textId="77777777" w:rsidR="006F067F" w:rsidRDefault="00F45624">
      <w:pPr>
        <w:pStyle w:val="Heading2"/>
        <w:spacing w:before="56"/>
      </w:pPr>
      <w:r>
        <w:t>Identification</w:t>
      </w:r>
    </w:p>
    <w:p w14:paraId="01937763" w14:textId="783D2E22" w:rsidR="006F067F" w:rsidRDefault="00F45624">
      <w:pPr>
        <w:pStyle w:val="BodyText"/>
        <w:ind w:left="214" w:right="403" w:hanging="2"/>
        <w:jc w:val="both"/>
      </w:pPr>
      <w:r>
        <w:t xml:space="preserve">To ensure the safe operation of its distribution </w:t>
      </w:r>
      <w:r w:rsidR="00E420A0">
        <w:t xml:space="preserve">network, </w:t>
      </w:r>
      <w:proofErr w:type="spellStart"/>
      <w:r w:rsidR="00E420A0">
        <w:t>TasNetworks</w:t>
      </w:r>
      <w:proofErr w:type="spellEnd"/>
      <w:r>
        <w:t xml:space="preserve"> should be </w:t>
      </w:r>
      <w:r w:rsidR="00B04A38">
        <w:t>informed of</w:t>
      </w:r>
      <w:r>
        <w:t xml:space="preserve"> any activity that may have an impact upon the electricity</w:t>
      </w:r>
      <w:r>
        <w:rPr>
          <w:spacing w:val="-14"/>
        </w:rPr>
        <w:t xml:space="preserve"> </w:t>
      </w:r>
      <w:r>
        <w:t>network.</w:t>
      </w:r>
    </w:p>
    <w:p w14:paraId="1157D454" w14:textId="77777777" w:rsidR="006F067F" w:rsidRDefault="006F067F">
      <w:pPr>
        <w:pStyle w:val="BodyText"/>
      </w:pPr>
    </w:p>
    <w:p w14:paraId="7179594E" w14:textId="78CA21A2" w:rsidR="006F067F" w:rsidRDefault="00143956">
      <w:pPr>
        <w:pStyle w:val="BodyText"/>
        <w:spacing w:before="1"/>
        <w:ind w:left="214" w:right="399" w:hanging="1"/>
        <w:jc w:val="both"/>
      </w:pPr>
      <w:r w:rsidRPr="00143956">
        <w:t xml:space="preserve">Contractors planning underground work must contact ‘Before You Dig Australia’ at </w:t>
      </w:r>
      <w:hyperlink r:id="rId12" w:history="1">
        <w:r w:rsidR="004417C3" w:rsidRPr="00BD2765">
          <w:rPr>
            <w:rStyle w:val="Hyperlink"/>
          </w:rPr>
          <w:t>https://www.byda.com.au</w:t>
        </w:r>
      </w:hyperlink>
      <w:r w:rsidR="004417C3">
        <w:t xml:space="preserve"> </w:t>
      </w:r>
      <w:r w:rsidR="004417C3" w:rsidRPr="00143956">
        <w:t xml:space="preserve"> </w:t>
      </w:r>
      <w:r w:rsidR="004417C3" w:rsidRPr="00143956">
        <w:lastRenderedPageBreak/>
        <w:t>before</w:t>
      </w:r>
      <w:r w:rsidRPr="00143956">
        <w:t xml:space="preserve"> commencing </w:t>
      </w:r>
      <w:r w:rsidR="00B04A38" w:rsidRPr="00143956">
        <w:t>work.</w:t>
      </w:r>
    </w:p>
    <w:p w14:paraId="5763F2EB" w14:textId="77777777" w:rsidR="006F067F" w:rsidRDefault="006F067F">
      <w:pPr>
        <w:pStyle w:val="BodyText"/>
        <w:spacing w:before="10"/>
        <w:rPr>
          <w:sz w:val="21"/>
        </w:rPr>
      </w:pPr>
    </w:p>
    <w:p w14:paraId="306B010E" w14:textId="77777777" w:rsidR="006F067F" w:rsidRDefault="00F45624">
      <w:pPr>
        <w:pStyle w:val="BodyText"/>
        <w:ind w:left="214" w:right="398"/>
        <w:jc w:val="both"/>
      </w:pPr>
      <w:r>
        <w:t xml:space="preserve">Hydro Tasmania, councils and property owners also own and manage electrical infrastructure. These </w:t>
      </w:r>
      <w:proofErr w:type="spellStart"/>
      <w:r>
        <w:t>organisations</w:t>
      </w:r>
      <w:proofErr w:type="spellEnd"/>
      <w:r>
        <w:t xml:space="preserve"> (or persons) should also be contacted during the work planning phase to determine if they have infrastructure near planned excavations and their requirements.</w:t>
      </w:r>
    </w:p>
    <w:p w14:paraId="14144E34" w14:textId="77777777" w:rsidR="006F067F" w:rsidRDefault="006F067F">
      <w:pPr>
        <w:pStyle w:val="BodyText"/>
        <w:spacing w:before="1"/>
      </w:pPr>
    </w:p>
    <w:p w14:paraId="6A08EBBE" w14:textId="77777777" w:rsidR="006F067F" w:rsidRDefault="00F45624">
      <w:pPr>
        <w:pStyle w:val="Heading2"/>
      </w:pPr>
      <w:r>
        <w:t>Notification</w:t>
      </w:r>
    </w:p>
    <w:p w14:paraId="7348C378" w14:textId="77777777" w:rsidR="006F067F" w:rsidRDefault="00F45624">
      <w:pPr>
        <w:pStyle w:val="BodyText"/>
        <w:spacing w:before="1"/>
        <w:ind w:left="212" w:right="399"/>
        <w:jc w:val="both"/>
      </w:pPr>
      <w:r>
        <w:t xml:space="preserve">In accordance with The Tasmanian Electricity Supply Industry Act 1995, a person who proposes to do work near electrical infrastructure must give the appropriate electricity entity </w:t>
      </w:r>
      <w:r>
        <w:rPr>
          <w:b/>
        </w:rPr>
        <w:t xml:space="preserve">at least 7 </w:t>
      </w:r>
      <w:proofErr w:type="spellStart"/>
      <w:r>
        <w:rPr>
          <w:b/>
        </w:rPr>
        <w:t>days notice</w:t>
      </w:r>
      <w:proofErr w:type="spellEnd"/>
      <w:r>
        <w:rPr>
          <w:b/>
        </w:rPr>
        <w:t xml:space="preserve"> </w:t>
      </w:r>
      <w:r>
        <w:t>of the proposed work if:</w:t>
      </w:r>
    </w:p>
    <w:p w14:paraId="497FBE91" w14:textId="77777777" w:rsidR="006F067F" w:rsidRDefault="00F45624">
      <w:pPr>
        <w:pStyle w:val="ListParagraph"/>
        <w:numPr>
          <w:ilvl w:val="0"/>
          <w:numId w:val="3"/>
        </w:numPr>
        <w:tabs>
          <w:tab w:val="left" w:pos="1072"/>
          <w:tab w:val="left" w:pos="1073"/>
        </w:tabs>
        <w:ind w:right="405" w:hanging="568"/>
      </w:pPr>
      <w:r>
        <w:t xml:space="preserve">There is a risk of equipment or a structure coming into dangerous proximity </w:t>
      </w:r>
      <w:r>
        <w:rPr>
          <w:spacing w:val="-3"/>
        </w:rPr>
        <w:t xml:space="preserve">to </w:t>
      </w:r>
      <w:r>
        <w:t>the electrical conductors;</w:t>
      </w:r>
      <w:r>
        <w:rPr>
          <w:spacing w:val="-2"/>
        </w:rPr>
        <w:t xml:space="preserve"> </w:t>
      </w:r>
      <w:r>
        <w:t>or</w:t>
      </w:r>
    </w:p>
    <w:p w14:paraId="44BE90C6" w14:textId="77777777" w:rsidR="006F067F" w:rsidRDefault="00F45624">
      <w:pPr>
        <w:pStyle w:val="ListParagraph"/>
        <w:numPr>
          <w:ilvl w:val="0"/>
          <w:numId w:val="3"/>
        </w:numPr>
        <w:tabs>
          <w:tab w:val="left" w:pos="1080"/>
          <w:tab w:val="left" w:pos="1081"/>
        </w:tabs>
        <w:spacing w:line="267" w:lineRule="exact"/>
        <w:ind w:hanging="566"/>
      </w:pPr>
      <w:r>
        <w:t>The work may affect the support for any part of the electricity infrastructure;</w:t>
      </w:r>
      <w:r>
        <w:rPr>
          <w:spacing w:val="-20"/>
        </w:rPr>
        <w:t xml:space="preserve"> </w:t>
      </w:r>
      <w:r>
        <w:t>or</w:t>
      </w:r>
    </w:p>
    <w:p w14:paraId="5DC4DC70" w14:textId="77777777" w:rsidR="006F067F" w:rsidRDefault="00F45624">
      <w:pPr>
        <w:pStyle w:val="ListParagraph"/>
        <w:numPr>
          <w:ilvl w:val="0"/>
          <w:numId w:val="3"/>
        </w:numPr>
        <w:tabs>
          <w:tab w:val="left" w:pos="1079"/>
          <w:tab w:val="left" w:pos="1081"/>
        </w:tabs>
        <w:ind w:hanging="567"/>
      </w:pPr>
      <w:r>
        <w:t>The work may interfere with electricity infrastructure in some other</w:t>
      </w:r>
      <w:r>
        <w:rPr>
          <w:spacing w:val="-16"/>
        </w:rPr>
        <w:t xml:space="preserve"> </w:t>
      </w:r>
      <w:r>
        <w:t>way.</w:t>
      </w:r>
    </w:p>
    <w:p w14:paraId="64498CBA" w14:textId="77777777" w:rsidR="006F067F" w:rsidRDefault="006F067F">
      <w:pPr>
        <w:pStyle w:val="BodyText"/>
        <w:rPr>
          <w:sz w:val="20"/>
        </w:rPr>
      </w:pPr>
    </w:p>
    <w:p w14:paraId="05493239" w14:textId="28C8AD39" w:rsidR="00475BA5" w:rsidRDefault="00475BA5" w:rsidP="001C3C89">
      <w:pPr>
        <w:pStyle w:val="BodyText"/>
        <w:spacing w:before="3"/>
      </w:pPr>
      <w:r>
        <w:rPr>
          <w:noProof/>
        </w:rPr>
        <w:drawing>
          <wp:anchor distT="0" distB="0" distL="0" distR="0" simplePos="0" relativeHeight="251651072" behindDoc="0" locked="0" layoutInCell="1" allowOverlap="1" wp14:anchorId="30D7B0BD" wp14:editId="4AF0561B">
            <wp:simplePos x="0" y="0"/>
            <wp:positionH relativeFrom="page">
              <wp:posOffset>1976120</wp:posOffset>
            </wp:positionH>
            <wp:positionV relativeFrom="paragraph">
              <wp:posOffset>309504</wp:posOffset>
            </wp:positionV>
            <wp:extent cx="3824605" cy="3262630"/>
            <wp:effectExtent l="0" t="0" r="4445"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3" cstate="print"/>
                    <a:stretch>
                      <a:fillRect/>
                    </a:stretch>
                  </pic:blipFill>
                  <pic:spPr>
                    <a:xfrm>
                      <a:off x="0" y="0"/>
                      <a:ext cx="3824605" cy="3262630"/>
                    </a:xfrm>
                    <a:prstGeom prst="rect">
                      <a:avLst/>
                    </a:prstGeom>
                  </pic:spPr>
                </pic:pic>
              </a:graphicData>
            </a:graphic>
            <wp14:sizeRelH relativeFrom="margin">
              <wp14:pctWidth>0</wp14:pctWidth>
            </wp14:sizeRelH>
            <wp14:sizeRelV relativeFrom="margin">
              <wp14:pctHeight>0</wp14:pctHeight>
            </wp14:sizeRelV>
          </wp:anchor>
        </w:drawing>
      </w:r>
      <w:r w:rsidR="00F45624">
        <w:t xml:space="preserve">Figure 2 applies to </w:t>
      </w:r>
      <w:proofErr w:type="spellStart"/>
      <w:r w:rsidR="00F45624">
        <w:t>TasNetworks</w:t>
      </w:r>
      <w:proofErr w:type="spellEnd"/>
      <w:r w:rsidR="00F45624">
        <w:t xml:space="preserve">’ timber poles and lighting columns with a length between 9 m and 12 m, strength of 3 </w:t>
      </w:r>
    </w:p>
    <w:p w14:paraId="15C3B75F" w14:textId="79BB7D73" w:rsidR="00475BA5" w:rsidRDefault="00475BA5" w:rsidP="001C3C89">
      <w:pPr>
        <w:pStyle w:val="BodyText"/>
        <w:spacing w:before="3"/>
      </w:pPr>
    </w:p>
    <w:p w14:paraId="762F0715" w14:textId="64185D64" w:rsidR="006F067F" w:rsidRDefault="00F45624" w:rsidP="001C3C89">
      <w:pPr>
        <w:pStyle w:val="BodyText"/>
        <w:spacing w:before="3"/>
      </w:pPr>
      <w:proofErr w:type="spellStart"/>
      <w:r>
        <w:t>kN</w:t>
      </w:r>
      <w:proofErr w:type="spellEnd"/>
      <w:r>
        <w:t xml:space="preserve"> to 8 </w:t>
      </w:r>
      <w:proofErr w:type="spellStart"/>
      <w:r>
        <w:t>kN</w:t>
      </w:r>
      <w:proofErr w:type="spellEnd"/>
      <w:r>
        <w:t xml:space="preserve"> and assumes that the excavation is open for no more than one week. (Information on identifying the length and strength of poles from the pole tag is given above).</w:t>
      </w:r>
    </w:p>
    <w:p w14:paraId="052FA958" w14:textId="77777777" w:rsidR="006F067F" w:rsidRDefault="006F067F">
      <w:pPr>
        <w:pStyle w:val="BodyText"/>
      </w:pPr>
    </w:p>
    <w:p w14:paraId="10803A10" w14:textId="28B636F8" w:rsidR="006F067F" w:rsidRDefault="00F45624">
      <w:pPr>
        <w:pStyle w:val="BodyText"/>
        <w:spacing w:before="1"/>
        <w:ind w:left="213"/>
      </w:pPr>
      <w:r>
        <w:t xml:space="preserve">If the pole is made from a material other than </w:t>
      </w:r>
      <w:r w:rsidR="00CE0308">
        <w:t>timber,</w:t>
      </w:r>
      <w:r>
        <w:t xml:space="preserve"> then:</w:t>
      </w:r>
    </w:p>
    <w:p w14:paraId="224027EB" w14:textId="77777777" w:rsidR="006F067F" w:rsidRDefault="00F45624">
      <w:pPr>
        <w:pStyle w:val="ListParagraph"/>
        <w:numPr>
          <w:ilvl w:val="0"/>
          <w:numId w:val="2"/>
        </w:numPr>
        <w:tabs>
          <w:tab w:val="left" w:pos="933"/>
          <w:tab w:val="left" w:pos="934"/>
        </w:tabs>
        <w:spacing w:before="2" w:line="237" w:lineRule="auto"/>
        <w:ind w:right="401"/>
      </w:pPr>
      <w:r>
        <w:t xml:space="preserve">If the pole is 125 mm rectangular hollow section (RHS), it should be treated like a 4 </w:t>
      </w:r>
      <w:proofErr w:type="spellStart"/>
      <w:r>
        <w:t>kN</w:t>
      </w:r>
      <w:proofErr w:type="spellEnd"/>
      <w:r>
        <w:t xml:space="preserve"> timber pole when using Figure</w:t>
      </w:r>
      <w:r>
        <w:rPr>
          <w:spacing w:val="-7"/>
        </w:rPr>
        <w:t xml:space="preserve"> </w:t>
      </w:r>
      <w:r>
        <w:t>2.</w:t>
      </w:r>
    </w:p>
    <w:p w14:paraId="12482D61" w14:textId="77777777" w:rsidR="006F067F" w:rsidRDefault="00F45624">
      <w:pPr>
        <w:pStyle w:val="ListParagraph"/>
        <w:numPr>
          <w:ilvl w:val="0"/>
          <w:numId w:val="2"/>
        </w:numPr>
        <w:tabs>
          <w:tab w:val="left" w:pos="934"/>
          <w:tab w:val="left" w:pos="935"/>
        </w:tabs>
        <w:spacing w:before="2"/>
        <w:ind w:hanging="360"/>
      </w:pPr>
      <w:r>
        <w:t xml:space="preserve">Any other pole type should be treated like an 8 </w:t>
      </w:r>
      <w:proofErr w:type="spellStart"/>
      <w:r>
        <w:t>kN</w:t>
      </w:r>
      <w:proofErr w:type="spellEnd"/>
      <w:r>
        <w:t xml:space="preserve"> timber pole when using Figure</w:t>
      </w:r>
      <w:r>
        <w:rPr>
          <w:spacing w:val="-35"/>
        </w:rPr>
        <w:t xml:space="preserve"> </w:t>
      </w:r>
      <w:r>
        <w:t>2.</w:t>
      </w:r>
    </w:p>
    <w:p w14:paraId="76018EE4" w14:textId="08AB8ED0" w:rsidR="006F067F" w:rsidRDefault="00F45624">
      <w:pPr>
        <w:pStyle w:val="BodyText"/>
        <w:ind w:left="212" w:right="400"/>
        <w:jc w:val="both"/>
      </w:pPr>
      <w:r>
        <w:t>If excavations are located outside of the limit curves in Figure 2 or do not exceed 300 mm in depth</w:t>
      </w:r>
      <w:r w:rsidR="00496BCB">
        <w:t>,</w:t>
      </w:r>
      <w:r>
        <w:t xml:space="preserve"> then work may proceed without notifying </w:t>
      </w:r>
      <w:proofErr w:type="spellStart"/>
      <w:r>
        <w:t>TasNetworks</w:t>
      </w:r>
      <w:proofErr w:type="spellEnd"/>
      <w:r>
        <w:t>.</w:t>
      </w:r>
    </w:p>
    <w:p w14:paraId="34D3CAEC" w14:textId="77777777" w:rsidR="006F067F" w:rsidRDefault="006F067F">
      <w:pPr>
        <w:pStyle w:val="BodyText"/>
        <w:spacing w:before="1"/>
      </w:pPr>
    </w:p>
    <w:p w14:paraId="639ABBEA" w14:textId="77777777" w:rsidR="00475BA5" w:rsidRDefault="00475BA5">
      <w:r>
        <w:br w:type="page"/>
      </w:r>
    </w:p>
    <w:p w14:paraId="3C1C9095" w14:textId="01242B38" w:rsidR="006F067F" w:rsidRDefault="00F45624" w:rsidP="00412461">
      <w:pPr>
        <w:pStyle w:val="BodyText"/>
        <w:ind w:left="212" w:right="399"/>
      </w:pPr>
      <w:r>
        <w:lastRenderedPageBreak/>
        <w:t>If the excavation falls within the limit curves (the shaded area) in Figure 2 and exceeds 300 mm in depth this will affect electrical infrastructure and the Contractor shall obtain written advice from a suitably qualified and experienced engineer</w:t>
      </w:r>
      <w:r>
        <w:rPr>
          <w:spacing w:val="-4"/>
        </w:rPr>
        <w:t xml:space="preserve"> </w:t>
      </w:r>
      <w:r>
        <w:t>detailing:</w:t>
      </w:r>
    </w:p>
    <w:p w14:paraId="2EE37D98" w14:textId="77777777" w:rsidR="006F067F" w:rsidRDefault="00F45624" w:rsidP="00412461">
      <w:pPr>
        <w:pStyle w:val="ListParagraph"/>
        <w:numPr>
          <w:ilvl w:val="1"/>
          <w:numId w:val="2"/>
        </w:numPr>
        <w:tabs>
          <w:tab w:val="left" w:pos="1232"/>
          <w:tab w:val="left" w:pos="1233"/>
        </w:tabs>
        <w:spacing w:line="279" w:lineRule="exact"/>
        <w:ind w:hanging="360"/>
      </w:pPr>
      <w:r>
        <w:t>How the pole is to be kept safe during the excavation;</w:t>
      </w:r>
      <w:r>
        <w:rPr>
          <w:spacing w:val="-18"/>
        </w:rPr>
        <w:t xml:space="preserve"> </w:t>
      </w:r>
      <w:r>
        <w:t>and</w:t>
      </w:r>
    </w:p>
    <w:p w14:paraId="68560569" w14:textId="77777777" w:rsidR="006F067F" w:rsidRDefault="00F45624" w:rsidP="00412461">
      <w:pPr>
        <w:pStyle w:val="ListParagraph"/>
        <w:numPr>
          <w:ilvl w:val="1"/>
          <w:numId w:val="2"/>
        </w:numPr>
        <w:tabs>
          <w:tab w:val="left" w:pos="1232"/>
          <w:tab w:val="left" w:pos="1233"/>
        </w:tabs>
        <w:spacing w:before="1"/>
        <w:ind w:hanging="360"/>
      </w:pPr>
      <w:r>
        <w:t>How the ground around the structure should be</w:t>
      </w:r>
      <w:r>
        <w:rPr>
          <w:spacing w:val="-11"/>
        </w:rPr>
        <w:t xml:space="preserve"> </w:t>
      </w:r>
      <w:r>
        <w:t>reinstated.</w:t>
      </w:r>
    </w:p>
    <w:p w14:paraId="471A7B24" w14:textId="769855A6" w:rsidR="006F067F" w:rsidRDefault="00F45624" w:rsidP="00412461">
      <w:pPr>
        <w:pStyle w:val="BodyText"/>
        <w:ind w:left="212" w:right="398"/>
      </w:pPr>
      <w:r>
        <w:t>A copy of the engineer’s advice along with the name, qualifications and contact details of  the  advising  engineer shall to be emailed to</w:t>
      </w:r>
      <w:r w:rsidR="002B0157">
        <w:rPr>
          <w:color w:val="0000FF"/>
        </w:rPr>
        <w:t xml:space="preserve"> </w:t>
      </w:r>
      <w:hyperlink r:id="rId14" w:history="1">
        <w:r w:rsidR="00874BA0" w:rsidRPr="00BD2765">
          <w:rPr>
            <w:rStyle w:val="Hyperlink"/>
          </w:rPr>
          <w:t xml:space="preserve">structureandoverhead@tasnetworks.com.au </w:t>
        </w:r>
      </w:hyperlink>
      <w:r w:rsidR="00874BA0">
        <w:t>at l</w:t>
      </w:r>
      <w:r>
        <w:t xml:space="preserve">east 7 days in advance of </w:t>
      </w:r>
      <w:r>
        <w:rPr>
          <w:spacing w:val="-3"/>
        </w:rPr>
        <w:t xml:space="preserve">the </w:t>
      </w:r>
      <w:r>
        <w:t>commencement</w:t>
      </w:r>
      <w:r>
        <w:rPr>
          <w:spacing w:val="-5"/>
        </w:rPr>
        <w:t xml:space="preserve"> </w:t>
      </w:r>
      <w:r>
        <w:t>of</w:t>
      </w:r>
      <w:r>
        <w:rPr>
          <w:spacing w:val="-7"/>
        </w:rPr>
        <w:t xml:space="preserve"> </w:t>
      </w:r>
      <w:r>
        <w:t>works.</w:t>
      </w:r>
      <w:r>
        <w:rPr>
          <w:spacing w:val="-5"/>
        </w:rPr>
        <w:t xml:space="preserve"> </w:t>
      </w:r>
      <w:r>
        <w:t>The</w:t>
      </w:r>
      <w:r>
        <w:rPr>
          <w:spacing w:val="-2"/>
        </w:rPr>
        <w:t xml:space="preserve"> </w:t>
      </w:r>
      <w:r>
        <w:t>Contractor</w:t>
      </w:r>
      <w:r>
        <w:rPr>
          <w:spacing w:val="-4"/>
        </w:rPr>
        <w:t xml:space="preserve"> </w:t>
      </w:r>
      <w:r>
        <w:t>must</w:t>
      </w:r>
      <w:r>
        <w:rPr>
          <w:spacing w:val="-4"/>
        </w:rPr>
        <w:t xml:space="preserve"> </w:t>
      </w:r>
      <w:r>
        <w:t>ensure</w:t>
      </w:r>
      <w:r>
        <w:rPr>
          <w:spacing w:val="-2"/>
        </w:rPr>
        <w:t xml:space="preserve"> </w:t>
      </w:r>
      <w:r>
        <w:t>the</w:t>
      </w:r>
      <w:r>
        <w:rPr>
          <w:spacing w:val="-1"/>
        </w:rPr>
        <w:t xml:space="preserve"> </w:t>
      </w:r>
      <w:r>
        <w:t>advising</w:t>
      </w:r>
      <w:r>
        <w:rPr>
          <w:spacing w:val="-4"/>
        </w:rPr>
        <w:t xml:space="preserve"> </w:t>
      </w:r>
      <w:r>
        <w:t>engineer’s</w:t>
      </w:r>
      <w:r>
        <w:rPr>
          <w:spacing w:val="-2"/>
        </w:rPr>
        <w:t xml:space="preserve"> </w:t>
      </w:r>
      <w:r>
        <w:t>advice</w:t>
      </w:r>
      <w:r>
        <w:rPr>
          <w:spacing w:val="-1"/>
        </w:rPr>
        <w:t xml:space="preserve"> </w:t>
      </w:r>
      <w:r>
        <w:t>is</w:t>
      </w:r>
      <w:r>
        <w:rPr>
          <w:spacing w:val="-5"/>
        </w:rPr>
        <w:t xml:space="preserve"> </w:t>
      </w:r>
      <w:r>
        <w:t>fully</w:t>
      </w:r>
      <w:r>
        <w:rPr>
          <w:spacing w:val="-1"/>
        </w:rPr>
        <w:t xml:space="preserve"> </w:t>
      </w:r>
      <w:r>
        <w:t>implemented.</w:t>
      </w:r>
    </w:p>
    <w:p w14:paraId="5DF2E06E" w14:textId="4FE90A8F" w:rsidR="006F067F" w:rsidRDefault="00F45624" w:rsidP="00412461">
      <w:pPr>
        <w:pStyle w:val="BodyText"/>
        <w:spacing w:before="1"/>
        <w:ind w:left="212" w:right="408"/>
      </w:pPr>
      <w:r>
        <w:t xml:space="preserve">If the engineering advice requires that the pole be physically </w:t>
      </w:r>
      <w:r w:rsidR="00227F9D">
        <w:t>supported,</w:t>
      </w:r>
      <w:r>
        <w:t xml:space="preserve"> then this should be undertaken by </w:t>
      </w:r>
      <w:proofErr w:type="spellStart"/>
      <w:r>
        <w:t>TasNetworks</w:t>
      </w:r>
      <w:proofErr w:type="spellEnd"/>
      <w:r>
        <w:t>.</w:t>
      </w:r>
    </w:p>
    <w:p w14:paraId="4998B952" w14:textId="77777777" w:rsidR="006F067F" w:rsidRDefault="006F067F">
      <w:pPr>
        <w:pStyle w:val="BodyText"/>
        <w:spacing w:before="10"/>
        <w:rPr>
          <w:sz w:val="21"/>
        </w:rPr>
      </w:pPr>
    </w:p>
    <w:p w14:paraId="030A6512" w14:textId="77777777" w:rsidR="006F067F" w:rsidRDefault="00F45624">
      <w:pPr>
        <w:pStyle w:val="Heading2"/>
      </w:pPr>
      <w:r>
        <w:t>Trenchless</w:t>
      </w:r>
      <w:r>
        <w:rPr>
          <w:spacing w:val="-7"/>
        </w:rPr>
        <w:t xml:space="preserve"> </w:t>
      </w:r>
      <w:r>
        <w:t>Techniques</w:t>
      </w:r>
    </w:p>
    <w:p w14:paraId="40D414B1" w14:textId="3F0AD032" w:rsidR="006F067F" w:rsidRDefault="00F45624">
      <w:pPr>
        <w:pStyle w:val="ListParagraph"/>
        <w:numPr>
          <w:ilvl w:val="0"/>
          <w:numId w:val="1"/>
        </w:numPr>
        <w:tabs>
          <w:tab w:val="left" w:pos="933"/>
        </w:tabs>
        <w:spacing w:before="1"/>
        <w:ind w:right="221"/>
        <w:jc w:val="both"/>
      </w:pPr>
      <w:r>
        <w:t xml:space="preserve">Before commencing trenchless techniques, the location of other services and survey marks is required. </w:t>
      </w:r>
      <w:r w:rsidR="008631AA">
        <w:t xml:space="preserve">Positive </w:t>
      </w:r>
      <w:r w:rsidR="00051A79">
        <w:t xml:space="preserve">locating of underground assets </w:t>
      </w:r>
      <w:r w:rsidR="00C83741">
        <w:t xml:space="preserve">is achieved by either hand </w:t>
      </w:r>
      <w:r>
        <w:t>Pot-holing</w:t>
      </w:r>
      <w:r w:rsidR="00C83741">
        <w:t xml:space="preserve"> or water jetting</w:t>
      </w:r>
      <w:r w:rsidR="002C4FD9">
        <w:t xml:space="preserve"> and vacuum method </w:t>
      </w:r>
      <w:r>
        <w:t xml:space="preserve">(or equivalent asset location techniques) must be used to locate existing underground services to ensure adequate clearances are maintained between services and to locate other service crossings. </w:t>
      </w:r>
      <w:r w:rsidR="000450CF">
        <w:t>Potholing</w:t>
      </w:r>
      <w:r>
        <w:t xml:space="preserve"> at each service crossing and at regular spacing along services is</w:t>
      </w:r>
      <w:r>
        <w:rPr>
          <w:spacing w:val="-20"/>
        </w:rPr>
        <w:t xml:space="preserve"> </w:t>
      </w:r>
      <w:r>
        <w:t>recommended.</w:t>
      </w:r>
    </w:p>
    <w:p w14:paraId="232AAA23" w14:textId="77777777" w:rsidR="006F067F" w:rsidRDefault="00F45624">
      <w:pPr>
        <w:pStyle w:val="ListParagraph"/>
        <w:numPr>
          <w:ilvl w:val="0"/>
          <w:numId w:val="1"/>
        </w:numPr>
        <w:tabs>
          <w:tab w:val="left" w:pos="933"/>
        </w:tabs>
        <w:spacing w:before="1"/>
        <w:ind w:right="221"/>
        <w:jc w:val="both"/>
      </w:pPr>
      <w:r>
        <w:t>Where high risk services are identified, consultation with the utility/service provider may be required. Where clearances required by other services cannot be achieved at the proposed depth of service installation, alternative solutions should be sought in consultation with the relevant parties, which may include the regulatory authority. Alternative solutions may include seeking alternative routes, relocation of existing assets, installing the new asset with reduced clearances, or installing the new asset well below the existing</w:t>
      </w:r>
      <w:r>
        <w:rPr>
          <w:spacing w:val="-1"/>
        </w:rPr>
        <w:t xml:space="preserve"> </w:t>
      </w:r>
      <w:r>
        <w:t>services.</w:t>
      </w:r>
    </w:p>
    <w:p w14:paraId="36CDD768" w14:textId="77777777" w:rsidR="006F067F" w:rsidRDefault="006F067F">
      <w:pPr>
        <w:pStyle w:val="BodyText"/>
        <w:spacing w:before="11"/>
        <w:rPr>
          <w:sz w:val="21"/>
        </w:rPr>
      </w:pPr>
    </w:p>
    <w:p w14:paraId="11CD90B1" w14:textId="77777777" w:rsidR="006F067F" w:rsidRDefault="00F45624">
      <w:pPr>
        <w:pStyle w:val="Heading2"/>
      </w:pPr>
      <w:r>
        <w:t xml:space="preserve">Damage to </w:t>
      </w:r>
      <w:proofErr w:type="spellStart"/>
      <w:r>
        <w:t>TasNetworks</w:t>
      </w:r>
      <w:proofErr w:type="spellEnd"/>
      <w:r>
        <w:t>’ assets – Stop Work Immediately and phone 13 2004</w:t>
      </w:r>
    </w:p>
    <w:p w14:paraId="16349CF6" w14:textId="77777777" w:rsidR="006F067F" w:rsidRDefault="006F067F">
      <w:pPr>
        <w:pStyle w:val="BodyText"/>
        <w:rPr>
          <w:b/>
        </w:rPr>
      </w:pPr>
    </w:p>
    <w:p w14:paraId="7B7647DB" w14:textId="71026D40" w:rsidR="006F067F" w:rsidRDefault="00F45624">
      <w:pPr>
        <w:spacing w:before="1"/>
        <w:ind w:left="212" w:right="780"/>
      </w:pPr>
      <w:r>
        <w:rPr>
          <w:rFonts w:ascii="Webdings" w:hAnsi="Webdings"/>
          <w:b/>
        </w:rPr>
        <w:t></w:t>
      </w:r>
      <w:r>
        <w:rPr>
          <w:rFonts w:ascii="Times New Roman" w:hAnsi="Times New Roman"/>
          <w:b/>
        </w:rPr>
        <w:t xml:space="preserve"> </w:t>
      </w:r>
      <w:r>
        <w:rPr>
          <w:b/>
        </w:rPr>
        <w:t xml:space="preserve">Refer to Emergency Procedures – Underground Assets Gas/Electricity </w:t>
      </w:r>
      <w:r>
        <w:t xml:space="preserve">(A5 ‘Emergency Procedure’ cards </w:t>
      </w:r>
      <w:r w:rsidR="00020780">
        <w:t>in</w:t>
      </w:r>
      <w:r>
        <w:t xml:space="preserve"> Excavators </w:t>
      </w:r>
      <w:proofErr w:type="spellStart"/>
      <w:r>
        <w:t>etc</w:t>
      </w:r>
      <w:proofErr w:type="spellEnd"/>
      <w:r>
        <w:t>)</w:t>
      </w:r>
      <w:r w:rsidR="00020780">
        <w:t>.</w:t>
      </w:r>
    </w:p>
    <w:p w14:paraId="002C9879" w14:textId="38C79F7B" w:rsidR="006F067F" w:rsidRDefault="006F067F">
      <w:pPr>
        <w:pStyle w:val="BodyText"/>
        <w:spacing w:before="3" w:after="1"/>
        <w:rPr>
          <w:sz w:val="24"/>
        </w:rPr>
      </w:pPr>
    </w:p>
    <w:p w14:paraId="2B1B35AE" w14:textId="77777777" w:rsidR="00475BA5" w:rsidRDefault="00475BA5">
      <w:pPr>
        <w:pStyle w:val="BodyText"/>
        <w:spacing w:before="3" w:after="1"/>
        <w:rPr>
          <w:sz w:val="24"/>
        </w:rPr>
      </w:pPr>
    </w:p>
    <w:p w14:paraId="3696F4A6" w14:textId="77777777" w:rsidR="00475BA5" w:rsidRDefault="00475BA5">
      <w:pPr>
        <w:pStyle w:val="BodyText"/>
        <w:spacing w:before="3" w:after="1"/>
        <w:rPr>
          <w:sz w:val="24"/>
        </w:rPr>
      </w:pPr>
    </w:p>
    <w:p w14:paraId="6ADEB0B1" w14:textId="77777777" w:rsidR="00475BA5" w:rsidRDefault="00475BA5">
      <w:pPr>
        <w:pStyle w:val="BodyText"/>
        <w:spacing w:before="3" w:after="1"/>
        <w:rPr>
          <w:sz w:val="24"/>
        </w:rPr>
      </w:pPr>
    </w:p>
    <w:p w14:paraId="72F21508" w14:textId="77777777" w:rsidR="00475BA5" w:rsidRDefault="00475BA5">
      <w:pPr>
        <w:pStyle w:val="BodyText"/>
        <w:spacing w:before="3" w:after="1"/>
        <w:rPr>
          <w:sz w:val="24"/>
        </w:rPr>
      </w:pPr>
    </w:p>
    <w:p w14:paraId="2B31B808" w14:textId="77777777" w:rsidR="00475BA5" w:rsidRDefault="00475BA5">
      <w:pPr>
        <w:pStyle w:val="BodyText"/>
        <w:spacing w:before="3" w:after="1"/>
        <w:rPr>
          <w:sz w:val="24"/>
        </w:rPr>
      </w:pPr>
    </w:p>
    <w:p w14:paraId="66EE1E9B" w14:textId="77777777" w:rsidR="00475BA5" w:rsidRDefault="00475BA5">
      <w:pPr>
        <w:pStyle w:val="BodyText"/>
        <w:spacing w:before="3" w:after="1"/>
        <w:rPr>
          <w:sz w:val="24"/>
        </w:rPr>
      </w:pPr>
    </w:p>
    <w:p w14:paraId="55CD8119" w14:textId="77777777" w:rsidR="00475BA5" w:rsidRDefault="00475BA5">
      <w:pPr>
        <w:pStyle w:val="BodyText"/>
        <w:spacing w:before="3" w:after="1"/>
        <w:rPr>
          <w:sz w:val="24"/>
        </w:rPr>
      </w:pPr>
    </w:p>
    <w:p w14:paraId="3F24B077" w14:textId="77777777" w:rsidR="00475BA5" w:rsidRDefault="00475BA5">
      <w:pPr>
        <w:pStyle w:val="BodyText"/>
        <w:spacing w:before="3" w:after="1"/>
        <w:rPr>
          <w:sz w:val="24"/>
        </w:rPr>
      </w:pPr>
    </w:p>
    <w:p w14:paraId="79CB4B4A" w14:textId="77777777" w:rsidR="00475BA5" w:rsidRDefault="00475BA5">
      <w:pPr>
        <w:pStyle w:val="BodyText"/>
        <w:spacing w:before="3" w:after="1"/>
        <w:rPr>
          <w:sz w:val="24"/>
        </w:rPr>
      </w:pPr>
    </w:p>
    <w:p w14:paraId="31FDDE54" w14:textId="77777777" w:rsidR="00475BA5" w:rsidRDefault="00475BA5">
      <w:pPr>
        <w:pStyle w:val="BodyText"/>
        <w:spacing w:before="3" w:after="1"/>
        <w:rPr>
          <w:sz w:val="24"/>
        </w:rPr>
      </w:pPr>
    </w:p>
    <w:p w14:paraId="5D3E0A06" w14:textId="77777777" w:rsidR="00FF4887" w:rsidRDefault="00FF4887">
      <w:pPr>
        <w:pStyle w:val="BodyText"/>
        <w:spacing w:before="3" w:after="1"/>
        <w:rPr>
          <w:sz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6F067F" w14:paraId="01F8F82E" w14:textId="77777777">
        <w:trPr>
          <w:trHeight w:val="268"/>
        </w:trPr>
        <w:tc>
          <w:tcPr>
            <w:tcW w:w="10420" w:type="dxa"/>
            <w:gridSpan w:val="2"/>
          </w:tcPr>
          <w:p w14:paraId="49E2197F" w14:textId="77777777" w:rsidR="006F067F" w:rsidRDefault="00F45624">
            <w:pPr>
              <w:pStyle w:val="TableParagraph"/>
              <w:rPr>
                <w:b/>
              </w:rPr>
            </w:pPr>
            <w:r>
              <w:rPr>
                <w:b/>
              </w:rPr>
              <w:t>PROCEDURE RECORDS</w:t>
            </w:r>
          </w:p>
        </w:tc>
      </w:tr>
      <w:tr w:rsidR="006F067F" w14:paraId="129FE3BE" w14:textId="77777777">
        <w:trPr>
          <w:trHeight w:val="268"/>
        </w:trPr>
        <w:tc>
          <w:tcPr>
            <w:tcW w:w="1951" w:type="dxa"/>
            <w:shd w:val="clear" w:color="auto" w:fill="DBE5F1"/>
          </w:tcPr>
          <w:p w14:paraId="4755B2CF" w14:textId="77777777" w:rsidR="006F067F" w:rsidRDefault="00F45624">
            <w:pPr>
              <w:pStyle w:val="TableParagraph"/>
              <w:rPr>
                <w:b/>
              </w:rPr>
            </w:pPr>
            <w:r>
              <w:rPr>
                <w:b/>
              </w:rPr>
              <w:t>Number</w:t>
            </w:r>
          </w:p>
        </w:tc>
        <w:tc>
          <w:tcPr>
            <w:tcW w:w="8469" w:type="dxa"/>
            <w:shd w:val="clear" w:color="auto" w:fill="DBE5F1"/>
          </w:tcPr>
          <w:p w14:paraId="3DB98E96" w14:textId="77777777" w:rsidR="006F067F" w:rsidRDefault="00F45624">
            <w:pPr>
              <w:pStyle w:val="TableParagraph"/>
              <w:rPr>
                <w:b/>
              </w:rPr>
            </w:pPr>
            <w:r>
              <w:rPr>
                <w:b/>
              </w:rPr>
              <w:t>Detail</w:t>
            </w:r>
          </w:p>
        </w:tc>
      </w:tr>
      <w:tr w:rsidR="006F067F" w14:paraId="2032A56B" w14:textId="77777777">
        <w:trPr>
          <w:trHeight w:val="268"/>
        </w:trPr>
        <w:tc>
          <w:tcPr>
            <w:tcW w:w="1951" w:type="dxa"/>
          </w:tcPr>
          <w:p w14:paraId="1AF09BEF" w14:textId="77777777" w:rsidR="006F067F" w:rsidRDefault="00F45624">
            <w:pPr>
              <w:pStyle w:val="TableParagraph"/>
              <w:rPr>
                <w:b/>
              </w:rPr>
            </w:pPr>
            <w:r>
              <w:rPr>
                <w:b/>
              </w:rPr>
              <w:t>-</w:t>
            </w:r>
          </w:p>
        </w:tc>
        <w:tc>
          <w:tcPr>
            <w:tcW w:w="8469" w:type="dxa"/>
          </w:tcPr>
          <w:p w14:paraId="1B9AE43C" w14:textId="77777777" w:rsidR="006F067F" w:rsidRDefault="00F45624">
            <w:pPr>
              <w:pStyle w:val="TableParagraph"/>
            </w:pPr>
            <w:r>
              <w:t>Dial B4 U Dig Information</w:t>
            </w:r>
          </w:p>
        </w:tc>
      </w:tr>
    </w:tbl>
    <w:p w14:paraId="4DBD7563" w14:textId="77777777" w:rsidR="00497CD1" w:rsidRDefault="00497CD1">
      <w:pPr>
        <w:sectPr w:rsidR="00497CD1" w:rsidSect="001C3C89">
          <w:type w:val="continuous"/>
          <w:pgSz w:w="11910" w:h="16840"/>
          <w:pgMar w:top="1900" w:right="340" w:bottom="720" w:left="920" w:header="426" w:footer="524" w:gutter="0"/>
          <w:cols w:space="720"/>
        </w:sectPr>
      </w:pPr>
    </w:p>
    <w:p w14:paraId="73329C9C" w14:textId="77777777" w:rsidR="00475BA5" w:rsidRDefault="00475BA5" w:rsidP="00475BA5">
      <w:pPr>
        <w:sectPr w:rsidR="00475BA5" w:rsidSect="00497CD1">
          <w:footerReference w:type="default" r:id="rId15"/>
          <w:pgSz w:w="11910" w:h="16840"/>
          <w:pgMar w:top="480" w:right="880" w:bottom="660" w:left="280" w:header="0" w:footer="693" w:gutter="0"/>
          <w:cols w:space="720"/>
          <w:docGrid w:linePitch="299"/>
        </w:sectPr>
      </w:pPr>
    </w:p>
    <w:p w14:paraId="26E395FF" w14:textId="3291288F" w:rsidR="00475BA5" w:rsidRPr="00475BA5" w:rsidRDefault="00475BA5" w:rsidP="00475BA5"/>
    <w:sectPr w:rsidR="00475BA5" w:rsidRPr="00475BA5" w:rsidSect="00475BA5">
      <w:type w:val="continuous"/>
      <w:pgSz w:w="11910" w:h="16840"/>
      <w:pgMar w:top="480" w:right="880" w:bottom="660" w:left="280" w:header="0" w:footer="69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520E0" w14:textId="77777777" w:rsidR="005D4954" w:rsidRDefault="005D4954">
      <w:r>
        <w:separator/>
      </w:r>
    </w:p>
  </w:endnote>
  <w:endnote w:type="continuationSeparator" w:id="0">
    <w:p w14:paraId="08D4D172" w14:textId="77777777" w:rsidR="005D4954" w:rsidRDefault="005D4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altName w:val="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7944" w14:textId="77777777" w:rsidR="001C3C89" w:rsidRDefault="001C3C89" w:rsidP="001C3C89">
    <w:pPr>
      <w:tabs>
        <w:tab w:val="left" w:pos="3750"/>
        <w:tab w:val="left" w:pos="9401"/>
      </w:tabs>
      <w:spacing w:line="194" w:lineRule="exact"/>
      <w:ind w:left="132"/>
      <w:rPr>
        <w:sz w:val="18"/>
      </w:rPr>
    </w:pPr>
    <w:r>
      <w:rPr>
        <w:sz w:val="18"/>
      </w:rPr>
      <w:t>Controlled</w:t>
    </w:r>
    <w:r>
      <w:rPr>
        <w:spacing w:val="-3"/>
        <w:sz w:val="18"/>
      </w:rPr>
      <w:t xml:space="preserve"> </w:t>
    </w:r>
    <w:r>
      <w:rPr>
        <w:sz w:val="18"/>
      </w:rPr>
      <w:t>Document</w:t>
    </w:r>
    <w:r>
      <w:rPr>
        <w:sz w:val="18"/>
      </w:rPr>
      <w:tab/>
    </w:r>
    <w:proofErr w:type="spellStart"/>
    <w:r>
      <w:rPr>
        <w:sz w:val="18"/>
      </w:rPr>
      <w:t>Authorised</w:t>
    </w:r>
    <w:proofErr w:type="spellEnd"/>
    <w:r>
      <w:rPr>
        <w:sz w:val="18"/>
      </w:rPr>
      <w:t xml:space="preserve"> &amp; Approved</w:t>
    </w:r>
    <w:r>
      <w:rPr>
        <w:spacing w:val="-10"/>
        <w:sz w:val="18"/>
      </w:rPr>
      <w:t xml:space="preserve"> </w:t>
    </w:r>
    <w:r>
      <w:rPr>
        <w:sz w:val="18"/>
      </w:rPr>
      <w:t>by</w:t>
    </w:r>
    <w:r>
      <w:rPr>
        <w:spacing w:val="-1"/>
        <w:sz w:val="18"/>
      </w:rPr>
      <w:t xml:space="preserve"> </w:t>
    </w:r>
    <w:r>
      <w:rPr>
        <w:sz w:val="18"/>
      </w:rPr>
      <w:t>Management</w:t>
    </w:r>
    <w:r>
      <w:rPr>
        <w:sz w:val="18"/>
      </w:rPr>
      <w:tab/>
      <w:t>Page 1 of</w:t>
    </w:r>
    <w:r>
      <w:rPr>
        <w:spacing w:val="-4"/>
        <w:sz w:val="18"/>
      </w:rPr>
      <w:t xml:space="preserve"> </w:t>
    </w:r>
    <w:r>
      <w:rPr>
        <w:sz w:val="18"/>
      </w:rPr>
      <w:t>1</w:t>
    </w:r>
  </w:p>
  <w:p w14:paraId="542374BC" w14:textId="5DA56AB8" w:rsidR="006F067F" w:rsidRDefault="00601470">
    <w:pPr>
      <w:pStyle w:val="BodyText"/>
      <w:spacing w:line="14" w:lineRule="auto"/>
      <w:rPr>
        <w:sz w:val="20"/>
      </w:rPr>
    </w:pPr>
    <w:r>
      <w:rPr>
        <w:noProof/>
      </w:rPr>
      <mc:AlternateContent>
        <mc:Choice Requires="wps">
          <w:drawing>
            <wp:anchor distT="0" distB="0" distL="114300" distR="114300" simplePos="0" relativeHeight="503309600" behindDoc="1" locked="0" layoutInCell="1" allowOverlap="1" wp14:anchorId="005FA089" wp14:editId="6F9E4AAF">
              <wp:simplePos x="0" y="0"/>
              <wp:positionH relativeFrom="page">
                <wp:posOffset>719455</wp:posOffset>
              </wp:positionH>
              <wp:positionV relativeFrom="page">
                <wp:posOffset>10186035</wp:posOffset>
              </wp:positionV>
              <wp:extent cx="6406515" cy="0"/>
              <wp:effectExtent l="5080" t="13335" r="8255" b="5715"/>
              <wp:wrapNone/>
              <wp:docPr id="1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6515"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C18B8" id="Line 7" o:spid="_x0000_s1026" style="position:absolute;z-index:-6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1.1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" strokeweight=".20003mm">
              <w10:wrap anchorx="page"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43BD" w14:textId="77777777" w:rsidR="006F067F" w:rsidRDefault="006F067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4EC4A" w14:textId="77777777" w:rsidR="005D4954" w:rsidRDefault="005D4954">
      <w:r>
        <w:separator/>
      </w:r>
    </w:p>
  </w:footnote>
  <w:footnote w:type="continuationSeparator" w:id="0">
    <w:p w14:paraId="5770F559" w14:textId="77777777" w:rsidR="005D4954" w:rsidRDefault="005D4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902E9" w14:textId="41C538D4" w:rsidR="001C3C89" w:rsidRPr="001C3C89" w:rsidRDefault="001C3C89" w:rsidP="001C3C89">
    <w:pPr>
      <w:spacing w:before="2"/>
      <w:jc w:val="center"/>
      <w:rPr>
        <w:b/>
        <w:sz w:val="44"/>
      </w:rPr>
    </w:pPr>
    <w:r w:rsidRPr="001C3C89">
      <w:rPr>
        <w:noProof/>
      </w:rPr>
      <w:drawing>
        <wp:anchor distT="0" distB="0" distL="114300" distR="114300" simplePos="0" relativeHeight="503315799" behindDoc="1" locked="0" layoutInCell="1" allowOverlap="1" wp14:anchorId="7257A1BD" wp14:editId="4DCCB83F">
          <wp:simplePos x="0" y="0"/>
          <wp:positionH relativeFrom="page">
            <wp:posOffset>401239</wp:posOffset>
          </wp:positionH>
          <wp:positionV relativeFrom="paragraph">
            <wp:posOffset>207904</wp:posOffset>
          </wp:positionV>
          <wp:extent cx="1844703" cy="378620"/>
          <wp:effectExtent l="0" t="0" r="3175" b="2540"/>
          <wp:wrapNone/>
          <wp:docPr id="799055986" name="Picture 799055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703" cy="378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3C89">
      <w:rPr>
        <w:b/>
        <w:sz w:val="44"/>
      </w:rPr>
      <w:t>PANELTEC PTY LTD</w:t>
    </w:r>
  </w:p>
  <w:p w14:paraId="576163F5" w14:textId="1E06E775" w:rsidR="001C3C89" w:rsidRPr="001C3C89" w:rsidRDefault="001C3C89" w:rsidP="001C3C89">
    <w:pPr>
      <w:spacing w:line="415" w:lineRule="exact"/>
      <w:ind w:left="169"/>
      <w:jc w:val="center"/>
      <w:rPr>
        <w:b/>
      </w:rPr>
    </w:pPr>
    <w:r w:rsidRPr="001C3C89">
      <w:rPr>
        <w:b/>
      </w:rPr>
      <w:t>A.B.N. 12 128 689</w:t>
    </w:r>
    <w:r w:rsidRPr="001C3C89">
      <w:rPr>
        <w:b/>
        <w:spacing w:val="-3"/>
      </w:rPr>
      <w:t xml:space="preserve"> </w:t>
    </w:r>
    <w:r w:rsidRPr="001C3C89">
      <w:rPr>
        <w:b/>
      </w:rPr>
      <w:t>412</w:t>
    </w:r>
  </w:p>
  <w:p w14:paraId="4E449A80" w14:textId="77777777" w:rsidR="001C3C89" w:rsidRPr="001C3C89" w:rsidRDefault="001C3C89" w:rsidP="001C3C89">
    <w:pPr>
      <w:ind w:left="2916" w:right="2908" w:hanging="3"/>
      <w:jc w:val="center"/>
      <w:outlineLvl w:val="0"/>
      <w:rPr>
        <w:b/>
        <w:bCs/>
      </w:rPr>
    </w:pPr>
    <w:r w:rsidRPr="001C3C89">
      <w:rPr>
        <w:b/>
        <w:bCs/>
        <w:noProof/>
      </w:rPr>
      <mc:AlternateContent>
        <mc:Choice Requires="wps">
          <w:drawing>
            <wp:anchor distT="0" distB="0" distL="0" distR="0" simplePos="0" relativeHeight="503314445" behindDoc="1" locked="0" layoutInCell="1" allowOverlap="1" wp14:anchorId="31B9B209" wp14:editId="3BEFCEF3">
              <wp:simplePos x="0" y="0"/>
              <wp:positionH relativeFrom="page">
                <wp:posOffset>701040</wp:posOffset>
              </wp:positionH>
              <wp:positionV relativeFrom="paragraph">
                <wp:posOffset>389255</wp:posOffset>
              </wp:positionV>
              <wp:extent cx="6516370" cy="0"/>
              <wp:effectExtent l="15240" t="9525" r="12065" b="9525"/>
              <wp:wrapTopAndBottom/>
              <wp:docPr id="115717202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D5A06" id="Line 4" o:spid="_x0000_s1026" style="position:absolute;z-index:-203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30.65pt" to="568.3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" strokeweight="1.44pt">
              <w10:wrap type="topAndBottom" anchorx="page"/>
            </v:line>
          </w:pict>
        </mc:Fallback>
      </mc:AlternateContent>
    </w:r>
    <w:r w:rsidRPr="001C3C89">
      <w:rPr>
        <w:b/>
        <w:bCs/>
      </w:rPr>
      <w:t>INTEGRATED MANAGEMENT SYSTEM MANUAL QUALITY-WORK HEALTH &amp; SAFETY-ENVIRONMENT</w:t>
    </w:r>
  </w:p>
  <w:p w14:paraId="38E811F1" w14:textId="77777777" w:rsidR="001C3C89" w:rsidRPr="001C3C89" w:rsidRDefault="001C3C89" w:rsidP="001C3C89">
    <w:pPr>
      <w:tabs>
        <w:tab w:val="left" w:pos="8234"/>
      </w:tabs>
      <w:ind w:left="132"/>
      <w:jc w:val="both"/>
      <w:rPr>
        <w:sz w:val="20"/>
      </w:rPr>
    </w:pPr>
    <w:r w:rsidRPr="001C3C89">
      <w:rPr>
        <w:sz w:val="20"/>
      </w:rPr>
      <w:t>Revision</w:t>
    </w:r>
    <w:r w:rsidRPr="001C3C89">
      <w:rPr>
        <w:spacing w:val="-2"/>
        <w:sz w:val="20"/>
      </w:rPr>
      <w:t xml:space="preserve"> </w:t>
    </w:r>
    <w:r w:rsidRPr="001C3C89">
      <w:rPr>
        <w:sz w:val="20"/>
      </w:rPr>
      <w:t>No:</w:t>
    </w:r>
    <w:r w:rsidRPr="001C3C89">
      <w:rPr>
        <w:spacing w:val="-3"/>
        <w:sz w:val="20"/>
      </w:rPr>
      <w:t xml:space="preserve"> </w:t>
    </w:r>
    <w:r w:rsidRPr="001C3C89">
      <w:rPr>
        <w:sz w:val="20"/>
      </w:rPr>
      <w:t>010</w:t>
    </w:r>
    <w:r w:rsidRPr="001C3C89">
      <w:rPr>
        <w:sz w:val="20"/>
      </w:rPr>
      <w:tab/>
      <w:t>Revision Date:</w:t>
    </w:r>
    <w:r w:rsidRPr="001C3C89">
      <w:rPr>
        <w:spacing w:val="-4"/>
        <w:sz w:val="20"/>
      </w:rPr>
      <w:t xml:space="preserve"> </w:t>
    </w:r>
    <w:r w:rsidRPr="001C3C89">
      <w:rPr>
        <w:sz w:val="20"/>
      </w:rPr>
      <w:t>31/08/25</w:t>
    </w:r>
  </w:p>
  <w:p w14:paraId="3A05248A" w14:textId="287EE44C" w:rsidR="001C3C89" w:rsidRPr="001C3C89" w:rsidRDefault="001C3C89" w:rsidP="001C3C89">
    <w:pPr>
      <w:spacing w:before="1"/>
      <w:ind w:left="132"/>
      <w:jc w:val="both"/>
      <w:rPr>
        <w:b/>
        <w:sz w:val="28"/>
      </w:rPr>
    </w:pPr>
    <w:r w:rsidRPr="001C3C89">
      <w:rPr>
        <w:noProof/>
      </w:rPr>
      <mc:AlternateContent>
        <mc:Choice Requires="wps">
          <w:drawing>
            <wp:anchor distT="0" distB="0" distL="0" distR="0" simplePos="0" relativeHeight="503315122" behindDoc="1" locked="0" layoutInCell="1" allowOverlap="1" wp14:anchorId="79E30548" wp14:editId="154EA687">
              <wp:simplePos x="0" y="0"/>
              <wp:positionH relativeFrom="page">
                <wp:posOffset>701040</wp:posOffset>
              </wp:positionH>
              <wp:positionV relativeFrom="paragraph">
                <wp:posOffset>270510</wp:posOffset>
              </wp:positionV>
              <wp:extent cx="6516370" cy="0"/>
              <wp:effectExtent l="15240" t="17145" r="12065" b="11430"/>
              <wp:wrapTopAndBottom/>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F9870" id="Line 3" o:spid="_x0000_s1026" style="position:absolute;z-index:-135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sidRPr="001C3C89">
      <w:rPr>
        <w:sz w:val="20"/>
      </w:rPr>
      <w:t xml:space="preserve">Document No: </w:t>
    </w:r>
    <w:r w:rsidRPr="00E64055">
      <w:rPr>
        <w:b/>
        <w:sz w:val="28"/>
        <w:szCs w:val="24"/>
      </w:rPr>
      <w:t xml:space="preserve">WHS-24 </w:t>
    </w:r>
    <w:r>
      <w:rPr>
        <w:b/>
        <w:sz w:val="28"/>
      </w:rPr>
      <w:t>UNDERGROUND ASSETS SAFETY PROCEDURE</w:t>
    </w:r>
  </w:p>
  <w:p w14:paraId="47FDBDEF" w14:textId="77777777" w:rsidR="00497CD1" w:rsidRDefault="00497CD1" w:rsidP="00497CD1">
    <w:pPr>
      <w:pStyle w:val="BodyText"/>
      <w:spacing w:before="6"/>
      <w:rPr>
        <w:rFonts w:ascii="Times New Roman"/>
        <w:sz w:val="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6EBE"/>
    <w:multiLevelType w:val="hybridMultilevel"/>
    <w:tmpl w:val="3C4E10CA"/>
    <w:lvl w:ilvl="0" w:tplc="0C090001">
      <w:start w:val="1"/>
      <w:numFmt w:val="bullet"/>
      <w:lvlText w:val=""/>
      <w:lvlJc w:val="left"/>
      <w:pPr>
        <w:ind w:left="932" w:hanging="360"/>
      </w:pPr>
      <w:rPr>
        <w:rFonts w:ascii="Symbol" w:hAnsi="Symbol" w:hint="default"/>
        <w:w w:val="99"/>
        <w:lang w:val="en-US" w:eastAsia="en-US" w:bidi="en-US"/>
      </w:rPr>
    </w:lvl>
    <w:lvl w:ilvl="1" w:tplc="FFFFFFFF">
      <w:numFmt w:val="bullet"/>
      <w:lvlText w:val="•"/>
      <w:lvlJc w:val="left"/>
      <w:pPr>
        <w:ind w:left="1910" w:hanging="360"/>
      </w:pPr>
      <w:rPr>
        <w:rFonts w:hint="default"/>
        <w:lang w:val="en-US" w:eastAsia="en-US" w:bidi="en-US"/>
      </w:rPr>
    </w:lvl>
    <w:lvl w:ilvl="2" w:tplc="FFFFFFFF">
      <w:numFmt w:val="bullet"/>
      <w:lvlText w:val="•"/>
      <w:lvlJc w:val="left"/>
      <w:pPr>
        <w:ind w:left="2881" w:hanging="360"/>
      </w:pPr>
      <w:rPr>
        <w:rFonts w:hint="default"/>
        <w:lang w:val="en-US" w:eastAsia="en-US" w:bidi="en-US"/>
      </w:rPr>
    </w:lvl>
    <w:lvl w:ilvl="3" w:tplc="FFFFFFFF">
      <w:numFmt w:val="bullet"/>
      <w:lvlText w:val="•"/>
      <w:lvlJc w:val="left"/>
      <w:pPr>
        <w:ind w:left="3851" w:hanging="360"/>
      </w:pPr>
      <w:rPr>
        <w:rFonts w:hint="default"/>
        <w:lang w:val="en-US" w:eastAsia="en-US" w:bidi="en-US"/>
      </w:rPr>
    </w:lvl>
    <w:lvl w:ilvl="4" w:tplc="FFFFFFFF">
      <w:numFmt w:val="bullet"/>
      <w:lvlText w:val="•"/>
      <w:lvlJc w:val="left"/>
      <w:pPr>
        <w:ind w:left="4822" w:hanging="360"/>
      </w:pPr>
      <w:rPr>
        <w:rFonts w:hint="default"/>
        <w:lang w:val="en-US" w:eastAsia="en-US" w:bidi="en-US"/>
      </w:rPr>
    </w:lvl>
    <w:lvl w:ilvl="5" w:tplc="FFFFFFFF">
      <w:numFmt w:val="bullet"/>
      <w:lvlText w:val="•"/>
      <w:lvlJc w:val="left"/>
      <w:pPr>
        <w:ind w:left="5793" w:hanging="360"/>
      </w:pPr>
      <w:rPr>
        <w:rFonts w:hint="default"/>
        <w:lang w:val="en-US" w:eastAsia="en-US" w:bidi="en-US"/>
      </w:rPr>
    </w:lvl>
    <w:lvl w:ilvl="6" w:tplc="FFFFFFFF">
      <w:numFmt w:val="bullet"/>
      <w:lvlText w:val="•"/>
      <w:lvlJc w:val="left"/>
      <w:pPr>
        <w:ind w:left="6763" w:hanging="360"/>
      </w:pPr>
      <w:rPr>
        <w:rFonts w:hint="default"/>
        <w:lang w:val="en-US" w:eastAsia="en-US" w:bidi="en-US"/>
      </w:rPr>
    </w:lvl>
    <w:lvl w:ilvl="7" w:tplc="FFFFFFFF">
      <w:numFmt w:val="bullet"/>
      <w:lvlText w:val="•"/>
      <w:lvlJc w:val="left"/>
      <w:pPr>
        <w:ind w:left="7734" w:hanging="360"/>
      </w:pPr>
      <w:rPr>
        <w:rFonts w:hint="default"/>
        <w:lang w:val="en-US" w:eastAsia="en-US" w:bidi="en-US"/>
      </w:rPr>
    </w:lvl>
    <w:lvl w:ilvl="8" w:tplc="FFFFFFFF">
      <w:numFmt w:val="bullet"/>
      <w:lvlText w:val="•"/>
      <w:lvlJc w:val="left"/>
      <w:pPr>
        <w:ind w:left="8705" w:hanging="360"/>
      </w:pPr>
      <w:rPr>
        <w:rFonts w:hint="default"/>
        <w:lang w:val="en-US" w:eastAsia="en-US" w:bidi="en-US"/>
      </w:rPr>
    </w:lvl>
  </w:abstractNum>
  <w:abstractNum w:abstractNumId="1" w15:restartNumberingAfterBreak="0">
    <w:nsid w:val="0A7854EA"/>
    <w:multiLevelType w:val="hybridMultilevel"/>
    <w:tmpl w:val="A36E618A"/>
    <w:lvl w:ilvl="0" w:tplc="6298D620">
      <w:numFmt w:val="bullet"/>
      <w:lvlText w:val=""/>
      <w:lvlJc w:val="left"/>
      <w:pPr>
        <w:ind w:left="934" w:hanging="361"/>
      </w:pPr>
      <w:rPr>
        <w:rFonts w:ascii="Symbol" w:eastAsia="Symbol" w:hAnsi="Symbol" w:cs="Symbol" w:hint="default"/>
        <w:w w:val="100"/>
        <w:sz w:val="22"/>
        <w:szCs w:val="22"/>
        <w:lang w:val="en-US" w:eastAsia="en-US" w:bidi="en-US"/>
      </w:rPr>
    </w:lvl>
    <w:lvl w:ilvl="1" w:tplc="2AFC8280">
      <w:numFmt w:val="bullet"/>
      <w:lvlText w:val=""/>
      <w:lvlJc w:val="left"/>
      <w:pPr>
        <w:ind w:left="1232" w:hanging="361"/>
      </w:pPr>
      <w:rPr>
        <w:rFonts w:ascii="Symbol" w:eastAsia="Symbol" w:hAnsi="Symbol" w:cs="Symbol" w:hint="default"/>
        <w:w w:val="100"/>
        <w:sz w:val="22"/>
        <w:szCs w:val="22"/>
        <w:lang w:val="en-US" w:eastAsia="en-US" w:bidi="en-US"/>
      </w:rPr>
    </w:lvl>
    <w:lvl w:ilvl="2" w:tplc="0E368DF4">
      <w:numFmt w:val="bullet"/>
      <w:lvlText w:val="•"/>
      <w:lvlJc w:val="left"/>
      <w:pPr>
        <w:ind w:left="2285" w:hanging="361"/>
      </w:pPr>
      <w:rPr>
        <w:rFonts w:hint="default"/>
        <w:lang w:val="en-US" w:eastAsia="en-US" w:bidi="en-US"/>
      </w:rPr>
    </w:lvl>
    <w:lvl w:ilvl="3" w:tplc="5D3AFF1E">
      <w:numFmt w:val="bullet"/>
      <w:lvlText w:val="•"/>
      <w:lvlJc w:val="left"/>
      <w:pPr>
        <w:ind w:left="3330" w:hanging="361"/>
      </w:pPr>
      <w:rPr>
        <w:rFonts w:hint="default"/>
        <w:lang w:val="en-US" w:eastAsia="en-US" w:bidi="en-US"/>
      </w:rPr>
    </w:lvl>
    <w:lvl w:ilvl="4" w:tplc="C76277A0">
      <w:numFmt w:val="bullet"/>
      <w:lvlText w:val="•"/>
      <w:lvlJc w:val="left"/>
      <w:pPr>
        <w:ind w:left="4375" w:hanging="361"/>
      </w:pPr>
      <w:rPr>
        <w:rFonts w:hint="default"/>
        <w:lang w:val="en-US" w:eastAsia="en-US" w:bidi="en-US"/>
      </w:rPr>
    </w:lvl>
    <w:lvl w:ilvl="5" w:tplc="C1BCF8B4">
      <w:numFmt w:val="bullet"/>
      <w:lvlText w:val="•"/>
      <w:lvlJc w:val="left"/>
      <w:pPr>
        <w:ind w:left="5420" w:hanging="361"/>
      </w:pPr>
      <w:rPr>
        <w:rFonts w:hint="default"/>
        <w:lang w:val="en-US" w:eastAsia="en-US" w:bidi="en-US"/>
      </w:rPr>
    </w:lvl>
    <w:lvl w:ilvl="6" w:tplc="99062450">
      <w:numFmt w:val="bullet"/>
      <w:lvlText w:val="•"/>
      <w:lvlJc w:val="left"/>
      <w:pPr>
        <w:ind w:left="6465" w:hanging="361"/>
      </w:pPr>
      <w:rPr>
        <w:rFonts w:hint="default"/>
        <w:lang w:val="en-US" w:eastAsia="en-US" w:bidi="en-US"/>
      </w:rPr>
    </w:lvl>
    <w:lvl w:ilvl="7" w:tplc="66D809C2">
      <w:numFmt w:val="bullet"/>
      <w:lvlText w:val="•"/>
      <w:lvlJc w:val="left"/>
      <w:pPr>
        <w:ind w:left="7510" w:hanging="361"/>
      </w:pPr>
      <w:rPr>
        <w:rFonts w:hint="default"/>
        <w:lang w:val="en-US" w:eastAsia="en-US" w:bidi="en-US"/>
      </w:rPr>
    </w:lvl>
    <w:lvl w:ilvl="8" w:tplc="DAB62F38">
      <w:numFmt w:val="bullet"/>
      <w:lvlText w:val="•"/>
      <w:lvlJc w:val="left"/>
      <w:pPr>
        <w:ind w:left="8556" w:hanging="361"/>
      </w:pPr>
      <w:rPr>
        <w:rFonts w:hint="default"/>
        <w:lang w:val="en-US" w:eastAsia="en-US" w:bidi="en-US"/>
      </w:rPr>
    </w:lvl>
  </w:abstractNum>
  <w:abstractNum w:abstractNumId="2" w15:restartNumberingAfterBreak="0">
    <w:nsid w:val="13C06AEC"/>
    <w:multiLevelType w:val="hybridMultilevel"/>
    <w:tmpl w:val="8132FE6C"/>
    <w:lvl w:ilvl="0" w:tplc="2B6427C8">
      <w:numFmt w:val="bullet"/>
      <w:lvlText w:val=""/>
      <w:lvlJc w:val="left"/>
      <w:pPr>
        <w:ind w:left="932" w:hanging="360"/>
      </w:pPr>
      <w:rPr>
        <w:rFonts w:hint="default"/>
        <w:w w:val="99"/>
        <w:lang w:val="en-US" w:eastAsia="en-US" w:bidi="en-US"/>
      </w:rPr>
    </w:lvl>
    <w:lvl w:ilvl="1" w:tplc="80A0EE88">
      <w:numFmt w:val="bullet"/>
      <w:lvlText w:val="•"/>
      <w:lvlJc w:val="left"/>
      <w:pPr>
        <w:ind w:left="1910" w:hanging="360"/>
      </w:pPr>
      <w:rPr>
        <w:rFonts w:hint="default"/>
        <w:lang w:val="en-US" w:eastAsia="en-US" w:bidi="en-US"/>
      </w:rPr>
    </w:lvl>
    <w:lvl w:ilvl="2" w:tplc="814E3250">
      <w:numFmt w:val="bullet"/>
      <w:lvlText w:val="•"/>
      <w:lvlJc w:val="left"/>
      <w:pPr>
        <w:ind w:left="2881" w:hanging="360"/>
      </w:pPr>
      <w:rPr>
        <w:rFonts w:hint="default"/>
        <w:lang w:val="en-US" w:eastAsia="en-US" w:bidi="en-US"/>
      </w:rPr>
    </w:lvl>
    <w:lvl w:ilvl="3" w:tplc="737E1B18">
      <w:numFmt w:val="bullet"/>
      <w:lvlText w:val="•"/>
      <w:lvlJc w:val="left"/>
      <w:pPr>
        <w:ind w:left="3851" w:hanging="360"/>
      </w:pPr>
      <w:rPr>
        <w:rFonts w:hint="default"/>
        <w:lang w:val="en-US" w:eastAsia="en-US" w:bidi="en-US"/>
      </w:rPr>
    </w:lvl>
    <w:lvl w:ilvl="4" w:tplc="E9A63CAE">
      <w:numFmt w:val="bullet"/>
      <w:lvlText w:val="•"/>
      <w:lvlJc w:val="left"/>
      <w:pPr>
        <w:ind w:left="4822" w:hanging="360"/>
      </w:pPr>
      <w:rPr>
        <w:rFonts w:hint="default"/>
        <w:lang w:val="en-US" w:eastAsia="en-US" w:bidi="en-US"/>
      </w:rPr>
    </w:lvl>
    <w:lvl w:ilvl="5" w:tplc="40FA4042">
      <w:numFmt w:val="bullet"/>
      <w:lvlText w:val="•"/>
      <w:lvlJc w:val="left"/>
      <w:pPr>
        <w:ind w:left="5793" w:hanging="360"/>
      </w:pPr>
      <w:rPr>
        <w:rFonts w:hint="default"/>
        <w:lang w:val="en-US" w:eastAsia="en-US" w:bidi="en-US"/>
      </w:rPr>
    </w:lvl>
    <w:lvl w:ilvl="6" w:tplc="B2527B42">
      <w:numFmt w:val="bullet"/>
      <w:lvlText w:val="•"/>
      <w:lvlJc w:val="left"/>
      <w:pPr>
        <w:ind w:left="6763" w:hanging="360"/>
      </w:pPr>
      <w:rPr>
        <w:rFonts w:hint="default"/>
        <w:lang w:val="en-US" w:eastAsia="en-US" w:bidi="en-US"/>
      </w:rPr>
    </w:lvl>
    <w:lvl w:ilvl="7" w:tplc="35A8BB74">
      <w:numFmt w:val="bullet"/>
      <w:lvlText w:val="•"/>
      <w:lvlJc w:val="left"/>
      <w:pPr>
        <w:ind w:left="7734" w:hanging="360"/>
      </w:pPr>
      <w:rPr>
        <w:rFonts w:hint="default"/>
        <w:lang w:val="en-US" w:eastAsia="en-US" w:bidi="en-US"/>
      </w:rPr>
    </w:lvl>
    <w:lvl w:ilvl="8" w:tplc="0A107388">
      <w:numFmt w:val="bullet"/>
      <w:lvlText w:val="•"/>
      <w:lvlJc w:val="left"/>
      <w:pPr>
        <w:ind w:left="8705" w:hanging="360"/>
      </w:pPr>
      <w:rPr>
        <w:rFonts w:hint="default"/>
        <w:lang w:val="en-US" w:eastAsia="en-US" w:bidi="en-US"/>
      </w:rPr>
    </w:lvl>
  </w:abstractNum>
  <w:abstractNum w:abstractNumId="3" w15:restartNumberingAfterBreak="0">
    <w:nsid w:val="1B314AFF"/>
    <w:multiLevelType w:val="hybridMultilevel"/>
    <w:tmpl w:val="C252644A"/>
    <w:lvl w:ilvl="0" w:tplc="C044A984">
      <w:numFmt w:val="bullet"/>
      <w:lvlText w:val=""/>
      <w:lvlJc w:val="left"/>
      <w:pPr>
        <w:ind w:left="932" w:hanging="360"/>
      </w:pPr>
      <w:rPr>
        <w:rFonts w:ascii="Symbol" w:eastAsia="Symbol" w:hAnsi="Symbol" w:cs="Symbol" w:hint="default"/>
        <w:w w:val="99"/>
        <w:sz w:val="20"/>
        <w:szCs w:val="20"/>
        <w:lang w:val="en-US" w:eastAsia="en-US" w:bidi="en-US"/>
      </w:rPr>
    </w:lvl>
    <w:lvl w:ilvl="1" w:tplc="B29EDF9C">
      <w:numFmt w:val="bullet"/>
      <w:lvlText w:val="•"/>
      <w:lvlJc w:val="left"/>
      <w:pPr>
        <w:ind w:left="1910" w:hanging="360"/>
      </w:pPr>
      <w:rPr>
        <w:rFonts w:hint="default"/>
        <w:lang w:val="en-US" w:eastAsia="en-US" w:bidi="en-US"/>
      </w:rPr>
    </w:lvl>
    <w:lvl w:ilvl="2" w:tplc="F814DF8C">
      <w:numFmt w:val="bullet"/>
      <w:lvlText w:val="•"/>
      <w:lvlJc w:val="left"/>
      <w:pPr>
        <w:ind w:left="2881" w:hanging="360"/>
      </w:pPr>
      <w:rPr>
        <w:rFonts w:hint="default"/>
        <w:lang w:val="en-US" w:eastAsia="en-US" w:bidi="en-US"/>
      </w:rPr>
    </w:lvl>
    <w:lvl w:ilvl="3" w:tplc="AD923F16">
      <w:numFmt w:val="bullet"/>
      <w:lvlText w:val="•"/>
      <w:lvlJc w:val="left"/>
      <w:pPr>
        <w:ind w:left="3851" w:hanging="360"/>
      </w:pPr>
      <w:rPr>
        <w:rFonts w:hint="default"/>
        <w:lang w:val="en-US" w:eastAsia="en-US" w:bidi="en-US"/>
      </w:rPr>
    </w:lvl>
    <w:lvl w:ilvl="4" w:tplc="9E2C9F30">
      <w:numFmt w:val="bullet"/>
      <w:lvlText w:val="•"/>
      <w:lvlJc w:val="left"/>
      <w:pPr>
        <w:ind w:left="4822" w:hanging="360"/>
      </w:pPr>
      <w:rPr>
        <w:rFonts w:hint="default"/>
        <w:lang w:val="en-US" w:eastAsia="en-US" w:bidi="en-US"/>
      </w:rPr>
    </w:lvl>
    <w:lvl w:ilvl="5" w:tplc="73EE0AAE">
      <w:numFmt w:val="bullet"/>
      <w:lvlText w:val="•"/>
      <w:lvlJc w:val="left"/>
      <w:pPr>
        <w:ind w:left="5793" w:hanging="360"/>
      </w:pPr>
      <w:rPr>
        <w:rFonts w:hint="default"/>
        <w:lang w:val="en-US" w:eastAsia="en-US" w:bidi="en-US"/>
      </w:rPr>
    </w:lvl>
    <w:lvl w:ilvl="6" w:tplc="38A6B506">
      <w:numFmt w:val="bullet"/>
      <w:lvlText w:val="•"/>
      <w:lvlJc w:val="left"/>
      <w:pPr>
        <w:ind w:left="6763" w:hanging="360"/>
      </w:pPr>
      <w:rPr>
        <w:rFonts w:hint="default"/>
        <w:lang w:val="en-US" w:eastAsia="en-US" w:bidi="en-US"/>
      </w:rPr>
    </w:lvl>
    <w:lvl w:ilvl="7" w:tplc="187A5D82">
      <w:numFmt w:val="bullet"/>
      <w:lvlText w:val="•"/>
      <w:lvlJc w:val="left"/>
      <w:pPr>
        <w:ind w:left="7734" w:hanging="360"/>
      </w:pPr>
      <w:rPr>
        <w:rFonts w:hint="default"/>
        <w:lang w:val="en-US" w:eastAsia="en-US" w:bidi="en-US"/>
      </w:rPr>
    </w:lvl>
    <w:lvl w:ilvl="8" w:tplc="C66EEC7C">
      <w:numFmt w:val="bullet"/>
      <w:lvlText w:val="•"/>
      <w:lvlJc w:val="left"/>
      <w:pPr>
        <w:ind w:left="8705" w:hanging="360"/>
      </w:pPr>
      <w:rPr>
        <w:rFonts w:hint="default"/>
        <w:lang w:val="en-US" w:eastAsia="en-US" w:bidi="en-US"/>
      </w:rPr>
    </w:lvl>
  </w:abstractNum>
  <w:abstractNum w:abstractNumId="4" w15:restartNumberingAfterBreak="0">
    <w:nsid w:val="5E7A27C8"/>
    <w:multiLevelType w:val="hybridMultilevel"/>
    <w:tmpl w:val="A27CD76C"/>
    <w:lvl w:ilvl="0" w:tplc="CDBEA23A">
      <w:start w:val="1"/>
      <w:numFmt w:val="decimal"/>
      <w:lvlText w:val="%1."/>
      <w:lvlJc w:val="left"/>
      <w:pPr>
        <w:ind w:left="936" w:hanging="361"/>
        <w:jc w:val="left"/>
      </w:pPr>
      <w:rPr>
        <w:rFonts w:ascii="Calibri" w:eastAsia="Calibri" w:hAnsi="Calibri" w:cs="Calibri" w:hint="default"/>
        <w:w w:val="100"/>
        <w:sz w:val="22"/>
        <w:szCs w:val="22"/>
        <w:lang w:val="en-US" w:eastAsia="en-US" w:bidi="en-US"/>
      </w:rPr>
    </w:lvl>
    <w:lvl w:ilvl="1" w:tplc="00DA0F4A">
      <w:numFmt w:val="bullet"/>
      <w:lvlText w:val="•"/>
      <w:lvlJc w:val="left"/>
      <w:pPr>
        <w:ind w:left="1910" w:hanging="361"/>
      </w:pPr>
      <w:rPr>
        <w:rFonts w:hint="default"/>
        <w:lang w:val="en-US" w:eastAsia="en-US" w:bidi="en-US"/>
      </w:rPr>
    </w:lvl>
    <w:lvl w:ilvl="2" w:tplc="EF30A35E">
      <w:numFmt w:val="bullet"/>
      <w:lvlText w:val="•"/>
      <w:lvlJc w:val="left"/>
      <w:pPr>
        <w:ind w:left="2881" w:hanging="361"/>
      </w:pPr>
      <w:rPr>
        <w:rFonts w:hint="default"/>
        <w:lang w:val="en-US" w:eastAsia="en-US" w:bidi="en-US"/>
      </w:rPr>
    </w:lvl>
    <w:lvl w:ilvl="3" w:tplc="E024429A">
      <w:numFmt w:val="bullet"/>
      <w:lvlText w:val="•"/>
      <w:lvlJc w:val="left"/>
      <w:pPr>
        <w:ind w:left="3851" w:hanging="361"/>
      </w:pPr>
      <w:rPr>
        <w:rFonts w:hint="default"/>
        <w:lang w:val="en-US" w:eastAsia="en-US" w:bidi="en-US"/>
      </w:rPr>
    </w:lvl>
    <w:lvl w:ilvl="4" w:tplc="646869A0">
      <w:numFmt w:val="bullet"/>
      <w:lvlText w:val="•"/>
      <w:lvlJc w:val="left"/>
      <w:pPr>
        <w:ind w:left="4822" w:hanging="361"/>
      </w:pPr>
      <w:rPr>
        <w:rFonts w:hint="default"/>
        <w:lang w:val="en-US" w:eastAsia="en-US" w:bidi="en-US"/>
      </w:rPr>
    </w:lvl>
    <w:lvl w:ilvl="5" w:tplc="98D6D02A">
      <w:numFmt w:val="bullet"/>
      <w:lvlText w:val="•"/>
      <w:lvlJc w:val="left"/>
      <w:pPr>
        <w:ind w:left="5793" w:hanging="361"/>
      </w:pPr>
      <w:rPr>
        <w:rFonts w:hint="default"/>
        <w:lang w:val="en-US" w:eastAsia="en-US" w:bidi="en-US"/>
      </w:rPr>
    </w:lvl>
    <w:lvl w:ilvl="6" w:tplc="9ADEB49A">
      <w:numFmt w:val="bullet"/>
      <w:lvlText w:val="•"/>
      <w:lvlJc w:val="left"/>
      <w:pPr>
        <w:ind w:left="6763" w:hanging="361"/>
      </w:pPr>
      <w:rPr>
        <w:rFonts w:hint="default"/>
        <w:lang w:val="en-US" w:eastAsia="en-US" w:bidi="en-US"/>
      </w:rPr>
    </w:lvl>
    <w:lvl w:ilvl="7" w:tplc="0E2AC522">
      <w:numFmt w:val="bullet"/>
      <w:lvlText w:val="•"/>
      <w:lvlJc w:val="left"/>
      <w:pPr>
        <w:ind w:left="7734" w:hanging="361"/>
      </w:pPr>
      <w:rPr>
        <w:rFonts w:hint="default"/>
        <w:lang w:val="en-US" w:eastAsia="en-US" w:bidi="en-US"/>
      </w:rPr>
    </w:lvl>
    <w:lvl w:ilvl="8" w:tplc="257A06E6">
      <w:numFmt w:val="bullet"/>
      <w:lvlText w:val="•"/>
      <w:lvlJc w:val="left"/>
      <w:pPr>
        <w:ind w:left="8705" w:hanging="361"/>
      </w:pPr>
      <w:rPr>
        <w:rFonts w:hint="default"/>
        <w:lang w:val="en-US" w:eastAsia="en-US" w:bidi="en-US"/>
      </w:rPr>
    </w:lvl>
  </w:abstractNum>
  <w:abstractNum w:abstractNumId="5" w15:restartNumberingAfterBreak="0">
    <w:nsid w:val="638A62C6"/>
    <w:multiLevelType w:val="hybridMultilevel"/>
    <w:tmpl w:val="13BC7FD8"/>
    <w:lvl w:ilvl="0" w:tplc="0F6AB5D4">
      <w:start w:val="1"/>
      <w:numFmt w:val="decimal"/>
      <w:lvlText w:val="%1."/>
      <w:lvlJc w:val="left"/>
      <w:pPr>
        <w:ind w:left="1080" w:hanging="560"/>
        <w:jc w:val="left"/>
      </w:pPr>
      <w:rPr>
        <w:rFonts w:ascii="Calibri" w:eastAsia="Calibri" w:hAnsi="Calibri" w:cs="Calibri" w:hint="default"/>
        <w:w w:val="100"/>
        <w:sz w:val="22"/>
        <w:szCs w:val="22"/>
        <w:lang w:val="en-US" w:eastAsia="en-US" w:bidi="en-US"/>
      </w:rPr>
    </w:lvl>
    <w:lvl w:ilvl="1" w:tplc="0E565E1C">
      <w:numFmt w:val="bullet"/>
      <w:lvlText w:val="•"/>
      <w:lvlJc w:val="left"/>
      <w:pPr>
        <w:ind w:left="2036" w:hanging="560"/>
      </w:pPr>
      <w:rPr>
        <w:rFonts w:hint="default"/>
        <w:lang w:val="en-US" w:eastAsia="en-US" w:bidi="en-US"/>
      </w:rPr>
    </w:lvl>
    <w:lvl w:ilvl="2" w:tplc="AFBAEFCE">
      <w:numFmt w:val="bullet"/>
      <w:lvlText w:val="•"/>
      <w:lvlJc w:val="left"/>
      <w:pPr>
        <w:ind w:left="2993" w:hanging="560"/>
      </w:pPr>
      <w:rPr>
        <w:rFonts w:hint="default"/>
        <w:lang w:val="en-US" w:eastAsia="en-US" w:bidi="en-US"/>
      </w:rPr>
    </w:lvl>
    <w:lvl w:ilvl="3" w:tplc="4BB845C4">
      <w:numFmt w:val="bullet"/>
      <w:lvlText w:val="•"/>
      <w:lvlJc w:val="left"/>
      <w:pPr>
        <w:ind w:left="3949" w:hanging="560"/>
      </w:pPr>
      <w:rPr>
        <w:rFonts w:hint="default"/>
        <w:lang w:val="en-US" w:eastAsia="en-US" w:bidi="en-US"/>
      </w:rPr>
    </w:lvl>
    <w:lvl w:ilvl="4" w:tplc="D1484144">
      <w:numFmt w:val="bullet"/>
      <w:lvlText w:val="•"/>
      <w:lvlJc w:val="left"/>
      <w:pPr>
        <w:ind w:left="4906" w:hanging="560"/>
      </w:pPr>
      <w:rPr>
        <w:rFonts w:hint="default"/>
        <w:lang w:val="en-US" w:eastAsia="en-US" w:bidi="en-US"/>
      </w:rPr>
    </w:lvl>
    <w:lvl w:ilvl="5" w:tplc="48AE92BE">
      <w:numFmt w:val="bullet"/>
      <w:lvlText w:val="•"/>
      <w:lvlJc w:val="left"/>
      <w:pPr>
        <w:ind w:left="5863" w:hanging="560"/>
      </w:pPr>
      <w:rPr>
        <w:rFonts w:hint="default"/>
        <w:lang w:val="en-US" w:eastAsia="en-US" w:bidi="en-US"/>
      </w:rPr>
    </w:lvl>
    <w:lvl w:ilvl="6" w:tplc="0E5C5B72">
      <w:numFmt w:val="bullet"/>
      <w:lvlText w:val="•"/>
      <w:lvlJc w:val="left"/>
      <w:pPr>
        <w:ind w:left="6819" w:hanging="560"/>
      </w:pPr>
      <w:rPr>
        <w:rFonts w:hint="default"/>
        <w:lang w:val="en-US" w:eastAsia="en-US" w:bidi="en-US"/>
      </w:rPr>
    </w:lvl>
    <w:lvl w:ilvl="7" w:tplc="9858EFAE">
      <w:numFmt w:val="bullet"/>
      <w:lvlText w:val="•"/>
      <w:lvlJc w:val="left"/>
      <w:pPr>
        <w:ind w:left="7776" w:hanging="560"/>
      </w:pPr>
      <w:rPr>
        <w:rFonts w:hint="default"/>
        <w:lang w:val="en-US" w:eastAsia="en-US" w:bidi="en-US"/>
      </w:rPr>
    </w:lvl>
    <w:lvl w:ilvl="8" w:tplc="85CC5232">
      <w:numFmt w:val="bullet"/>
      <w:lvlText w:val="•"/>
      <w:lvlJc w:val="left"/>
      <w:pPr>
        <w:ind w:left="8733" w:hanging="560"/>
      </w:pPr>
      <w:rPr>
        <w:rFonts w:hint="default"/>
        <w:lang w:val="en-US" w:eastAsia="en-US" w:bidi="en-US"/>
      </w:rPr>
    </w:lvl>
  </w:abstractNum>
  <w:num w:numId="1" w16cid:durableId="258031635">
    <w:abstractNumId w:val="3"/>
  </w:num>
  <w:num w:numId="2" w16cid:durableId="1377774282">
    <w:abstractNumId w:val="1"/>
  </w:num>
  <w:num w:numId="3" w16cid:durableId="269287522">
    <w:abstractNumId w:val="5"/>
  </w:num>
  <w:num w:numId="4" w16cid:durableId="1851874596">
    <w:abstractNumId w:val="4"/>
  </w:num>
  <w:num w:numId="5" w16cid:durableId="1925721322">
    <w:abstractNumId w:val="2"/>
  </w:num>
  <w:num w:numId="6" w16cid:durableId="764157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67F"/>
    <w:rsid w:val="00020780"/>
    <w:rsid w:val="000450CF"/>
    <w:rsid w:val="00051A79"/>
    <w:rsid w:val="00063E8E"/>
    <w:rsid w:val="000C01EC"/>
    <w:rsid w:val="00143956"/>
    <w:rsid w:val="00153C91"/>
    <w:rsid w:val="001A7217"/>
    <w:rsid w:val="001C3C89"/>
    <w:rsid w:val="001E2147"/>
    <w:rsid w:val="00226A8D"/>
    <w:rsid w:val="00227F9D"/>
    <w:rsid w:val="002344BF"/>
    <w:rsid w:val="002B0157"/>
    <w:rsid w:val="002C4FD9"/>
    <w:rsid w:val="0039099D"/>
    <w:rsid w:val="00411D5D"/>
    <w:rsid w:val="00412461"/>
    <w:rsid w:val="00436204"/>
    <w:rsid w:val="004417C3"/>
    <w:rsid w:val="00475BA5"/>
    <w:rsid w:val="00496BCB"/>
    <w:rsid w:val="00497CD1"/>
    <w:rsid w:val="004E5DF2"/>
    <w:rsid w:val="00515280"/>
    <w:rsid w:val="00525ED1"/>
    <w:rsid w:val="005800F8"/>
    <w:rsid w:val="005D4954"/>
    <w:rsid w:val="005F0A93"/>
    <w:rsid w:val="00601470"/>
    <w:rsid w:val="00613E0E"/>
    <w:rsid w:val="006244FA"/>
    <w:rsid w:val="00654AF7"/>
    <w:rsid w:val="00674AA8"/>
    <w:rsid w:val="00676C27"/>
    <w:rsid w:val="0069138D"/>
    <w:rsid w:val="006F067F"/>
    <w:rsid w:val="007670FD"/>
    <w:rsid w:val="00784ABC"/>
    <w:rsid w:val="007D55A9"/>
    <w:rsid w:val="007F37BD"/>
    <w:rsid w:val="008137ED"/>
    <w:rsid w:val="008500BA"/>
    <w:rsid w:val="008631AA"/>
    <w:rsid w:val="00874BA0"/>
    <w:rsid w:val="008C700B"/>
    <w:rsid w:val="00900A3A"/>
    <w:rsid w:val="009E2DB3"/>
    <w:rsid w:val="00AE06BD"/>
    <w:rsid w:val="00B04A38"/>
    <w:rsid w:val="00B91613"/>
    <w:rsid w:val="00BA520A"/>
    <w:rsid w:val="00BC4B4E"/>
    <w:rsid w:val="00C83741"/>
    <w:rsid w:val="00C85DA5"/>
    <w:rsid w:val="00C92777"/>
    <w:rsid w:val="00CC1F67"/>
    <w:rsid w:val="00CE0308"/>
    <w:rsid w:val="00CF6E3F"/>
    <w:rsid w:val="00D04F9D"/>
    <w:rsid w:val="00D91A8B"/>
    <w:rsid w:val="00DA34CE"/>
    <w:rsid w:val="00DB3EBB"/>
    <w:rsid w:val="00DB437B"/>
    <w:rsid w:val="00DF5654"/>
    <w:rsid w:val="00DF643B"/>
    <w:rsid w:val="00E27BE0"/>
    <w:rsid w:val="00E420A0"/>
    <w:rsid w:val="00E64055"/>
    <w:rsid w:val="00ED61E4"/>
    <w:rsid w:val="00F3513A"/>
    <w:rsid w:val="00F45624"/>
    <w:rsid w:val="00F5498F"/>
    <w:rsid w:val="00F64EFF"/>
    <w:rsid w:val="00F815BD"/>
    <w:rsid w:val="00F84629"/>
    <w:rsid w:val="00FA1560"/>
    <w:rsid w:val="00FA63EF"/>
    <w:rsid w:val="00FC1E02"/>
    <w:rsid w:val="00FD23AB"/>
    <w:rsid w:val="00FF48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0D3C1"/>
  <w15:docId w15:val="{147DBCD5-E0B9-4C8C-8B02-F69B758B7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line="406" w:lineRule="exact"/>
      <w:ind w:left="701"/>
      <w:outlineLvl w:val="0"/>
    </w:pPr>
    <w:rPr>
      <w:b/>
      <w:bCs/>
      <w:sz w:val="44"/>
      <w:szCs w:val="44"/>
    </w:rPr>
  </w:style>
  <w:style w:type="paragraph" w:styleId="Heading2">
    <w:name w:val="heading 2"/>
    <w:basedOn w:val="Normal"/>
    <w:uiPriority w:val="9"/>
    <w:unhideWhenUsed/>
    <w:qFormat/>
    <w:pPr>
      <w:ind w:left="21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063E8E"/>
    <w:pPr>
      <w:tabs>
        <w:tab w:val="center" w:pos="4513"/>
        <w:tab w:val="right" w:pos="9026"/>
      </w:tabs>
    </w:pPr>
  </w:style>
  <w:style w:type="character" w:customStyle="1" w:styleId="HeaderChar">
    <w:name w:val="Header Char"/>
    <w:basedOn w:val="DefaultParagraphFont"/>
    <w:link w:val="Header"/>
    <w:uiPriority w:val="99"/>
    <w:rsid w:val="00063E8E"/>
    <w:rPr>
      <w:rFonts w:ascii="Calibri" w:eastAsia="Calibri" w:hAnsi="Calibri" w:cs="Calibri"/>
      <w:lang w:bidi="en-US"/>
    </w:rPr>
  </w:style>
  <w:style w:type="paragraph" w:styleId="Footer">
    <w:name w:val="footer"/>
    <w:basedOn w:val="Normal"/>
    <w:link w:val="FooterChar"/>
    <w:uiPriority w:val="99"/>
    <w:unhideWhenUsed/>
    <w:rsid w:val="00063E8E"/>
    <w:pPr>
      <w:tabs>
        <w:tab w:val="center" w:pos="4513"/>
        <w:tab w:val="right" w:pos="9026"/>
      </w:tabs>
    </w:pPr>
  </w:style>
  <w:style w:type="character" w:customStyle="1" w:styleId="FooterChar">
    <w:name w:val="Footer Char"/>
    <w:basedOn w:val="DefaultParagraphFont"/>
    <w:link w:val="Footer"/>
    <w:uiPriority w:val="99"/>
    <w:rsid w:val="00063E8E"/>
    <w:rPr>
      <w:rFonts w:ascii="Calibri" w:eastAsia="Calibri" w:hAnsi="Calibri" w:cs="Calibri"/>
      <w:lang w:bidi="en-US"/>
    </w:rPr>
  </w:style>
  <w:style w:type="character" w:styleId="Hyperlink">
    <w:name w:val="Hyperlink"/>
    <w:basedOn w:val="DefaultParagraphFont"/>
    <w:uiPriority w:val="99"/>
    <w:unhideWhenUsed/>
    <w:rsid w:val="00DF643B"/>
    <w:rPr>
      <w:color w:val="0000FF" w:themeColor="hyperlink"/>
      <w:u w:val="single"/>
    </w:rPr>
  </w:style>
  <w:style w:type="character" w:styleId="UnresolvedMention">
    <w:name w:val="Unresolved Mention"/>
    <w:basedOn w:val="DefaultParagraphFont"/>
    <w:uiPriority w:val="99"/>
    <w:semiHidden/>
    <w:unhideWhenUsed/>
    <w:rsid w:val="00DF6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yda.com.au/" TargetMode="Externa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yda.com.a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yda.com.a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structureandoverhead@tasnetworks.com.au%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5F833-C0DD-4B34-94BF-269B6BC4A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5</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67</cp:revision>
  <dcterms:created xsi:type="dcterms:W3CDTF">2020-07-13T05:31:00Z</dcterms:created>
  <dcterms:modified xsi:type="dcterms:W3CDTF">2025-09-17T05:44:00Z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2018-11-07T00:00:00Z</vt:filetime>
  </property>
</Properties>
</file>