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6A5C" w14:textId="50405227" w:rsidR="000806BB" w:rsidRDefault="00FD3BF4" w:rsidP="000806BB">
      <w:pPr>
        <w:jc w:val="center"/>
        <w:rPr>
          <w:color w:val="C00000"/>
          <w:sz w:val="44"/>
          <w:szCs w:val="44"/>
          <w:u w:val="single"/>
        </w:rPr>
      </w:pPr>
      <w:r>
        <w:rPr>
          <w:color w:val="C00000"/>
          <w:sz w:val="44"/>
          <w:szCs w:val="44"/>
          <w:u w:val="single"/>
        </w:rPr>
        <w:t>T4-Permissions</w:t>
      </w:r>
      <w:r w:rsidR="00854C5A" w:rsidRPr="00841B56">
        <w:rPr>
          <w:color w:val="C00000"/>
          <w:sz w:val="44"/>
          <w:szCs w:val="44"/>
          <w:u w:val="single"/>
        </w:rPr>
        <w:t>:</w:t>
      </w:r>
      <w:r w:rsidR="001D4175" w:rsidRPr="00841B56">
        <w:rPr>
          <w:color w:val="C00000"/>
          <w:sz w:val="44"/>
          <w:szCs w:val="44"/>
          <w:u w:val="single"/>
        </w:rPr>
        <w:t xml:space="preserve"> Overview</w:t>
      </w:r>
    </w:p>
    <w:p w14:paraId="4E9C8825" w14:textId="4DCA4EAC" w:rsidR="0055040F" w:rsidRPr="0055040F" w:rsidRDefault="0055040F" w:rsidP="000806BB">
      <w:pPr>
        <w:jc w:val="center"/>
        <w:rPr>
          <w:color w:val="C00000"/>
          <w:sz w:val="24"/>
          <w:szCs w:val="24"/>
        </w:rPr>
      </w:pPr>
      <w:r w:rsidRPr="0055040F">
        <w:rPr>
          <w:color w:val="C00000"/>
          <w:sz w:val="24"/>
          <w:szCs w:val="24"/>
        </w:rPr>
        <w:t>By Taylor Love</w:t>
      </w:r>
    </w:p>
    <w:p w14:paraId="35DCA8DA" w14:textId="77777777" w:rsidR="000806BB" w:rsidRPr="000D2B12" w:rsidRDefault="000806BB" w:rsidP="000806BB">
      <w:pPr>
        <w:jc w:val="center"/>
        <w:rPr>
          <w:color w:val="4472C4" w:themeColor="accent1"/>
          <w:sz w:val="36"/>
          <w:szCs w:val="36"/>
          <w:u w:val="single"/>
        </w:rPr>
      </w:pPr>
    </w:p>
    <w:p w14:paraId="21799CAF" w14:textId="56E834CE" w:rsidR="00FF0CF6" w:rsidRPr="006B5D98" w:rsidRDefault="00FF0CF6" w:rsidP="00FF0CF6">
      <w:pPr>
        <w:rPr>
          <w:color w:val="C00000"/>
          <w:sz w:val="24"/>
          <w:szCs w:val="24"/>
        </w:rPr>
      </w:pPr>
      <w:r w:rsidRPr="006B5D98">
        <w:rPr>
          <w:color w:val="C00000"/>
          <w:sz w:val="24"/>
          <w:szCs w:val="24"/>
          <w:u w:val="single"/>
        </w:rPr>
        <w:t>Introduction</w:t>
      </w:r>
      <w:r w:rsidRPr="006B5D98">
        <w:rPr>
          <w:color w:val="C00000"/>
          <w:sz w:val="24"/>
          <w:szCs w:val="24"/>
        </w:rPr>
        <w:t>:</w:t>
      </w:r>
    </w:p>
    <w:p w14:paraId="775B7F8B" w14:textId="4A5B903A" w:rsidR="00FD3BF4" w:rsidRPr="000806BB" w:rsidRDefault="00FD3BF4" w:rsidP="00313E12">
      <w:pPr>
        <w:rPr>
          <w:sz w:val="22"/>
          <w:szCs w:val="22"/>
        </w:rPr>
      </w:pPr>
      <w:r>
        <w:rPr>
          <w:sz w:val="22"/>
          <w:szCs w:val="22"/>
        </w:rPr>
        <w:t xml:space="preserve">T4-Permissions is a permissions system that allows developers to </w:t>
      </w:r>
      <w:r w:rsidR="00313E12">
        <w:rPr>
          <w:sz w:val="22"/>
          <w:szCs w:val="22"/>
        </w:rPr>
        <w:t xml:space="preserve">manage expanding complexity with ease. It is a solution that was created to simplify role-based authentication and give more control over individual permissions. It makes it easy to add new </w:t>
      </w:r>
      <w:proofErr w:type="gramStart"/>
      <w:r w:rsidR="00313E12">
        <w:rPr>
          <w:sz w:val="22"/>
          <w:szCs w:val="22"/>
        </w:rPr>
        <w:t>roles, or</w:t>
      </w:r>
      <w:proofErr w:type="gramEnd"/>
      <w:r w:rsidR="00313E12">
        <w:rPr>
          <w:sz w:val="22"/>
          <w:szCs w:val="22"/>
        </w:rPr>
        <w:t xml:space="preserve"> see what each role is capable of; all from viewing and editing a single configuration fil</w:t>
      </w:r>
      <w:bookmarkStart w:id="0" w:name="_GoBack"/>
      <w:bookmarkEnd w:id="0"/>
      <w:r w:rsidR="00313E12">
        <w:rPr>
          <w:sz w:val="22"/>
          <w:szCs w:val="22"/>
        </w:rPr>
        <w:t xml:space="preserve">e. </w:t>
      </w:r>
    </w:p>
    <w:p w14:paraId="7C480DD7" w14:textId="35B8DA3C" w:rsidR="00A4398D" w:rsidRPr="000806BB" w:rsidRDefault="00D115E4" w:rsidP="00FF0CF6">
      <w:pPr>
        <w:rPr>
          <w:sz w:val="22"/>
          <w:szCs w:val="22"/>
        </w:rPr>
      </w:pPr>
      <w:r w:rsidRPr="000806BB">
        <w:rPr>
          <w:sz w:val="22"/>
          <w:szCs w:val="22"/>
        </w:rPr>
        <w:t>R</w:t>
      </w:r>
      <w:r w:rsidR="00D8115E" w:rsidRPr="000806BB">
        <w:rPr>
          <w:sz w:val="22"/>
          <w:szCs w:val="22"/>
        </w:rPr>
        <w:t>equirements for this article are</w:t>
      </w:r>
      <w:r w:rsidR="00325998" w:rsidRPr="000806BB">
        <w:rPr>
          <w:sz w:val="22"/>
          <w:szCs w:val="22"/>
        </w:rPr>
        <w:t>: a</w:t>
      </w:r>
      <w:r w:rsidR="00A4398D">
        <w:rPr>
          <w:sz w:val="22"/>
          <w:szCs w:val="22"/>
        </w:rPr>
        <w:t xml:space="preserve">n understanding of C#, and preferably a good understanding of ASP.NET and MVC as well. </w:t>
      </w:r>
    </w:p>
    <w:p w14:paraId="7A784919" w14:textId="6B3FC7A4" w:rsidR="00D54455" w:rsidRPr="000806BB" w:rsidRDefault="00642C5D" w:rsidP="00FF0CF6">
      <w:pPr>
        <w:rPr>
          <w:sz w:val="22"/>
          <w:szCs w:val="22"/>
        </w:rPr>
      </w:pPr>
      <w:r w:rsidRPr="000806BB">
        <w:rPr>
          <w:sz w:val="22"/>
          <w:szCs w:val="22"/>
        </w:rPr>
        <w:t xml:space="preserve">Before we get started </w:t>
      </w:r>
      <w:r w:rsidR="003C39BA" w:rsidRPr="000806BB">
        <w:rPr>
          <w:sz w:val="22"/>
          <w:szCs w:val="22"/>
        </w:rPr>
        <w:t xml:space="preserve">in-depth </w:t>
      </w:r>
      <w:r w:rsidRPr="000806BB">
        <w:rPr>
          <w:sz w:val="22"/>
          <w:szCs w:val="22"/>
        </w:rPr>
        <w:t xml:space="preserve">here is a </w:t>
      </w:r>
      <w:r w:rsidR="006A24F0" w:rsidRPr="000806BB">
        <w:rPr>
          <w:sz w:val="22"/>
          <w:szCs w:val="22"/>
        </w:rPr>
        <w:t xml:space="preserve">short feature list </w:t>
      </w:r>
      <w:r w:rsidRPr="000806BB">
        <w:rPr>
          <w:sz w:val="22"/>
          <w:szCs w:val="22"/>
        </w:rPr>
        <w:t>f</w:t>
      </w:r>
      <w:r w:rsidR="00FF74B7" w:rsidRPr="000806BB">
        <w:rPr>
          <w:sz w:val="22"/>
          <w:szCs w:val="22"/>
        </w:rPr>
        <w:t>or</w:t>
      </w:r>
      <w:r w:rsidRPr="000806BB">
        <w:rPr>
          <w:sz w:val="22"/>
          <w:szCs w:val="22"/>
        </w:rPr>
        <w:t xml:space="preserve"> </w:t>
      </w:r>
      <w:r w:rsidR="00A4398D">
        <w:rPr>
          <w:sz w:val="22"/>
          <w:szCs w:val="22"/>
        </w:rPr>
        <w:t>T4-Permissions</w:t>
      </w:r>
      <w:r w:rsidRPr="000806BB">
        <w:rPr>
          <w:sz w:val="22"/>
          <w:szCs w:val="22"/>
        </w:rPr>
        <w:t>:</w:t>
      </w:r>
    </w:p>
    <w:p w14:paraId="723DFC85" w14:textId="10D80653" w:rsidR="00D54455" w:rsidRDefault="00A4398D" w:rsidP="00D544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Central configuration file makes code easy to maintain and review</w:t>
      </w:r>
    </w:p>
    <w:p w14:paraId="4A776974" w14:textId="7866BDF8" w:rsidR="00A4398D" w:rsidRDefault="00A4398D" w:rsidP="00D544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T4 speeds up development time for updates and adds IDE ready auto-complete features based on the generated system.</w:t>
      </w:r>
    </w:p>
    <w:p w14:paraId="1892C61D" w14:textId="4F310340" w:rsidR="00A4398D" w:rsidRDefault="00A4398D" w:rsidP="00D544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Generates filter attributes for ASP.NET controllers.</w:t>
      </w:r>
    </w:p>
    <w:p w14:paraId="26568445" w14:textId="4E6C29FA" w:rsidR="00A4398D" w:rsidRDefault="00A4398D" w:rsidP="00D544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Generates filter attributes for Web API controllers.</w:t>
      </w:r>
    </w:p>
    <w:p w14:paraId="269348EB" w14:textId="04A95DBC" w:rsidR="00A4398D" w:rsidRDefault="003610B0" w:rsidP="00D544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Generates </w:t>
      </w:r>
      <w:proofErr w:type="spellStart"/>
      <w:r>
        <w:rPr>
          <w:sz w:val="22"/>
          <w:szCs w:val="22"/>
        </w:rPr>
        <w:t>HtmlHelper</w:t>
      </w:r>
      <w:proofErr w:type="spellEnd"/>
      <w:r>
        <w:rPr>
          <w:sz w:val="22"/>
          <w:szCs w:val="22"/>
        </w:rPr>
        <w:t xml:space="preserve"> extension method for use in </w:t>
      </w:r>
      <w:proofErr w:type="spellStart"/>
      <w:r>
        <w:rPr>
          <w:sz w:val="22"/>
          <w:szCs w:val="22"/>
        </w:rPr>
        <w:t>cshtml</w:t>
      </w:r>
      <w:proofErr w:type="spellEnd"/>
      <w:r>
        <w:rPr>
          <w:sz w:val="22"/>
          <w:szCs w:val="22"/>
        </w:rPr>
        <w:t xml:space="preserve"> view pages</w:t>
      </w:r>
    </w:p>
    <w:p w14:paraId="707DA4B9" w14:textId="620B2140" w:rsidR="003610B0" w:rsidRDefault="003610B0" w:rsidP="00D5445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1) look-up time once compiled</w:t>
      </w:r>
    </w:p>
    <w:p w14:paraId="713D2AF7" w14:textId="77777777" w:rsidR="00313E12" w:rsidRDefault="00313E12" w:rsidP="00313E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Uses an </w:t>
      </w:r>
      <w:proofErr w:type="spellStart"/>
      <w:r>
        <w:rPr>
          <w:sz w:val="22"/>
          <w:szCs w:val="22"/>
        </w:rPr>
        <w:t>Enum</w:t>
      </w:r>
      <w:proofErr w:type="spellEnd"/>
      <w:r>
        <w:rPr>
          <w:sz w:val="22"/>
          <w:szCs w:val="22"/>
        </w:rPr>
        <w:t xml:space="preserve"> pattern so developers can take advantage of </w:t>
      </w:r>
      <w:proofErr w:type="gramStart"/>
      <w:r>
        <w:rPr>
          <w:sz w:val="22"/>
          <w:szCs w:val="22"/>
        </w:rPr>
        <w:t>autocomplete</w:t>
      </w:r>
      <w:proofErr w:type="gramEnd"/>
      <w:r>
        <w:rPr>
          <w:sz w:val="22"/>
          <w:szCs w:val="22"/>
        </w:rPr>
        <w:t xml:space="preserve"> in their IDE’s.</w:t>
      </w:r>
      <w:r w:rsidRPr="00313E12">
        <w:rPr>
          <w:sz w:val="22"/>
          <w:szCs w:val="22"/>
        </w:rPr>
        <w:t xml:space="preserve"> </w:t>
      </w:r>
    </w:p>
    <w:p w14:paraId="7A52985E" w14:textId="1418D180" w:rsidR="00EE5766" w:rsidRPr="00EE5766" w:rsidRDefault="00EE5766" w:rsidP="00EE576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87EAF5A" wp14:editId="3F19EA22">
            <wp:extent cx="3854480" cy="1413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76" cy="14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52E45A77" w14:textId="6E9D9D30" w:rsidR="000B2F37" w:rsidRPr="006B5D98" w:rsidRDefault="00E914FB" w:rsidP="00FF0CF6">
      <w:pPr>
        <w:rPr>
          <w:color w:val="C00000"/>
          <w:sz w:val="24"/>
          <w:szCs w:val="24"/>
          <w:u w:val="single"/>
        </w:rPr>
      </w:pPr>
      <w:r w:rsidRPr="006B5D98">
        <w:rPr>
          <w:color w:val="C00000"/>
          <w:sz w:val="24"/>
          <w:szCs w:val="24"/>
          <w:u w:val="single"/>
        </w:rPr>
        <w:t>Setup:</w:t>
      </w:r>
    </w:p>
    <w:p w14:paraId="3402B694" w14:textId="48335C23" w:rsidR="007A5443" w:rsidRDefault="007A5443" w:rsidP="00FF0CF6">
      <w:pPr>
        <w:rPr>
          <w:sz w:val="22"/>
          <w:szCs w:val="22"/>
        </w:rPr>
      </w:pPr>
      <w:r w:rsidRPr="000B658B">
        <w:rPr>
          <w:b/>
          <w:sz w:val="22"/>
          <w:szCs w:val="22"/>
        </w:rPr>
        <w:t>Extension</w:t>
      </w:r>
      <w:r w:rsidRPr="000B658B">
        <w:rPr>
          <w:sz w:val="22"/>
          <w:szCs w:val="22"/>
        </w:rPr>
        <w:t>s:</w:t>
      </w:r>
      <w:r w:rsidRPr="007A5443">
        <w:rPr>
          <w:sz w:val="22"/>
          <w:szCs w:val="22"/>
        </w:rPr>
        <w:t xml:space="preserve"> </w:t>
      </w:r>
      <w:hyperlink r:id="rId9" w:history="1">
        <w:proofErr w:type="spellStart"/>
        <w:r w:rsidRPr="000B658B">
          <w:rPr>
            <w:rStyle w:val="Hyperlink"/>
            <w:sz w:val="22"/>
            <w:szCs w:val="22"/>
            <w:highlight w:val="cyan"/>
          </w:rPr>
          <w:t>Devart</w:t>
        </w:r>
        <w:proofErr w:type="spellEnd"/>
        <w:r w:rsidRPr="000B658B">
          <w:rPr>
            <w:rStyle w:val="Hyperlink"/>
            <w:sz w:val="22"/>
            <w:szCs w:val="22"/>
            <w:highlight w:val="cyan"/>
          </w:rPr>
          <w:t xml:space="preserve"> T4 Editor</w:t>
        </w:r>
      </w:hyperlink>
      <w:r w:rsidRPr="007A5443">
        <w:rPr>
          <w:sz w:val="22"/>
          <w:szCs w:val="22"/>
        </w:rPr>
        <w:t xml:space="preserve"> will give syntax highlighting to your Visual Studio IDE</w:t>
      </w:r>
      <w:r w:rsidR="00D45948">
        <w:rPr>
          <w:sz w:val="22"/>
          <w:szCs w:val="22"/>
        </w:rPr>
        <w:t>.</w:t>
      </w:r>
    </w:p>
    <w:p w14:paraId="75CDC0BB" w14:textId="3A02DFF3" w:rsidR="000B658B" w:rsidRDefault="000B658B" w:rsidP="00FF0CF6">
      <w:pPr>
        <w:rPr>
          <w:sz w:val="22"/>
          <w:szCs w:val="22"/>
        </w:rPr>
      </w:pPr>
      <w:r w:rsidRPr="000B658B">
        <w:rPr>
          <w:b/>
          <w:sz w:val="22"/>
          <w:szCs w:val="22"/>
        </w:rPr>
        <w:t>IDE:</w:t>
      </w:r>
      <w:r>
        <w:rPr>
          <w:sz w:val="22"/>
          <w:szCs w:val="22"/>
        </w:rPr>
        <w:t xml:space="preserve"> </w:t>
      </w:r>
      <w:hyperlink r:id="rId10" w:history="1">
        <w:r w:rsidRPr="000B658B">
          <w:rPr>
            <w:rStyle w:val="Hyperlink"/>
            <w:sz w:val="22"/>
            <w:szCs w:val="22"/>
            <w:highlight w:val="cyan"/>
          </w:rPr>
          <w:t>Visual Studio 2017</w:t>
        </w:r>
      </w:hyperlink>
      <w:r>
        <w:rPr>
          <w:sz w:val="22"/>
          <w:szCs w:val="22"/>
        </w:rPr>
        <w:t xml:space="preserve"> Community or better</w:t>
      </w:r>
    </w:p>
    <w:p w14:paraId="39597C71" w14:textId="7AB19F53" w:rsidR="000B658B" w:rsidRDefault="000B658B" w:rsidP="00FF0CF6">
      <w:pPr>
        <w:rPr>
          <w:sz w:val="22"/>
          <w:szCs w:val="22"/>
        </w:rPr>
      </w:pPr>
      <w:r w:rsidRPr="000B658B">
        <w:rPr>
          <w:b/>
          <w:sz w:val="22"/>
          <w:szCs w:val="22"/>
        </w:rPr>
        <w:t>Framework</w:t>
      </w:r>
      <w:r>
        <w:rPr>
          <w:sz w:val="22"/>
          <w:szCs w:val="22"/>
        </w:rPr>
        <w:t xml:space="preserve">: </w:t>
      </w:r>
      <w:hyperlink r:id="rId11" w:history="1">
        <w:r w:rsidRPr="000B658B">
          <w:rPr>
            <w:rStyle w:val="Hyperlink"/>
            <w:sz w:val="22"/>
            <w:szCs w:val="22"/>
            <w:highlight w:val="cyan"/>
          </w:rPr>
          <w:t>ASP.NET 4.6.2</w:t>
        </w:r>
      </w:hyperlink>
      <w:r>
        <w:rPr>
          <w:sz w:val="22"/>
          <w:szCs w:val="22"/>
        </w:rPr>
        <w:t>. You can probably use other versions, but the example created will be for 4.6.2.</w:t>
      </w:r>
    </w:p>
    <w:p w14:paraId="0B3A1BE8" w14:textId="5CBE25EB" w:rsidR="000B658B" w:rsidRDefault="000B658B" w:rsidP="00FF0CF6">
      <w:pPr>
        <w:rPr>
          <w:sz w:val="22"/>
          <w:szCs w:val="22"/>
        </w:rPr>
      </w:pPr>
      <w:r>
        <w:rPr>
          <w:b/>
          <w:sz w:val="22"/>
          <w:szCs w:val="22"/>
        </w:rPr>
        <w:t>The Code:</w:t>
      </w:r>
      <w:r>
        <w:rPr>
          <w:sz w:val="22"/>
          <w:szCs w:val="22"/>
        </w:rPr>
        <w:t xml:space="preserve"> The code should be available within the folder you’re now viewing.</w:t>
      </w:r>
    </w:p>
    <w:p w14:paraId="05C19CE3" w14:textId="40BA5DBD" w:rsidR="002123D2" w:rsidRDefault="002123D2" w:rsidP="00FF0CF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Instructions: </w:t>
      </w:r>
      <w:r>
        <w:rPr>
          <w:sz w:val="22"/>
          <w:szCs w:val="22"/>
        </w:rPr>
        <w:t xml:space="preserve">Open the project in Visual Studio 2017. Make sure VS2017 is run in </w:t>
      </w:r>
      <w:r w:rsidRPr="002123D2">
        <w:rPr>
          <w:b/>
          <w:sz w:val="22"/>
          <w:szCs w:val="22"/>
        </w:rPr>
        <w:t>Administrator</w:t>
      </w:r>
      <w:r>
        <w:rPr>
          <w:sz w:val="22"/>
          <w:szCs w:val="22"/>
        </w:rPr>
        <w:t xml:space="preserve"> mode.</w:t>
      </w:r>
    </w:p>
    <w:p w14:paraId="781BFBAE" w14:textId="649348A1" w:rsidR="005D0E32" w:rsidRPr="006B5D98" w:rsidRDefault="000E797E" w:rsidP="00FF0CF6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lastRenderedPageBreak/>
        <w:br w:type="page"/>
      </w:r>
    </w:p>
    <w:p w14:paraId="1CE04A1C" w14:textId="53140624" w:rsidR="005D0E32" w:rsidRPr="006B5D98" w:rsidRDefault="002123D2" w:rsidP="00FF0CF6">
      <w:pPr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lastRenderedPageBreak/>
        <w:t>Adding T4-Permissions</w:t>
      </w:r>
      <w:r w:rsidR="005D0E32" w:rsidRPr="006B5D98">
        <w:rPr>
          <w:color w:val="C00000"/>
          <w:sz w:val="24"/>
          <w:szCs w:val="24"/>
          <w:u w:val="single"/>
        </w:rPr>
        <w:t>:</w:t>
      </w:r>
    </w:p>
    <w:p w14:paraId="5B0C60EA" w14:textId="0156439A" w:rsidR="0032141C" w:rsidRDefault="0032141C" w:rsidP="00FF0CF6">
      <w:pPr>
        <w:rPr>
          <w:sz w:val="22"/>
          <w:szCs w:val="22"/>
        </w:rPr>
      </w:pPr>
      <w:r>
        <w:rPr>
          <w:sz w:val="22"/>
          <w:szCs w:val="22"/>
        </w:rPr>
        <w:t xml:space="preserve">In the example project, T4 permissions will have already been added for you. But </w:t>
      </w:r>
      <w:r w:rsidR="000E797E">
        <w:rPr>
          <w:sz w:val="22"/>
          <w:szCs w:val="22"/>
        </w:rPr>
        <w:t xml:space="preserve">to see how it can be added to a new project, follow this example. </w:t>
      </w:r>
    </w:p>
    <w:p w14:paraId="656C08C4" w14:textId="66CE2F30" w:rsidR="000E797E" w:rsidRDefault="000E797E" w:rsidP="000E797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Add a new item, preferably to the </w:t>
      </w:r>
      <w:proofErr w:type="spellStart"/>
      <w:r>
        <w:rPr>
          <w:sz w:val="22"/>
          <w:szCs w:val="22"/>
        </w:rPr>
        <w:t>App_Start</w:t>
      </w:r>
      <w:proofErr w:type="spellEnd"/>
      <w:r>
        <w:rPr>
          <w:sz w:val="22"/>
          <w:szCs w:val="22"/>
        </w:rPr>
        <w:t xml:space="preserve"> folder of your web project. (Any folder will work though)</w:t>
      </w:r>
      <w:r>
        <w:rPr>
          <w:sz w:val="22"/>
          <w:szCs w:val="22"/>
        </w:rPr>
        <w:br/>
        <w:t xml:space="preserve"> </w:t>
      </w:r>
      <w:r>
        <w:rPr>
          <w:noProof/>
        </w:rPr>
        <w:drawing>
          <wp:inline distT="0" distB="0" distL="0" distR="0" wp14:anchorId="4BE8DD15" wp14:editId="4E3BCA56">
            <wp:extent cx="3352800" cy="1926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214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571B1E9" w14:textId="57E02EA7" w:rsidR="000E797E" w:rsidRDefault="000E797E" w:rsidP="000E797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exact name of your </w:t>
      </w:r>
      <w:proofErr w:type="spellStart"/>
      <w:r>
        <w:rPr>
          <w:sz w:val="22"/>
          <w:szCs w:val="22"/>
        </w:rPr>
        <w:t>tt</w:t>
      </w:r>
      <w:proofErr w:type="spellEnd"/>
      <w:r>
        <w:rPr>
          <w:sz w:val="22"/>
          <w:szCs w:val="22"/>
        </w:rPr>
        <w:t xml:space="preserve"> file does not matter, but the recommended name is “Permissions.tt”.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02226E02" wp14:editId="12074B2D">
            <wp:extent cx="3886846" cy="2744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424" cy="27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E6A9622" w14:textId="025A15A3" w:rsidR="000E797E" w:rsidRDefault="000C632C" w:rsidP="000E797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Copy and paste the content from an existing permissions.tt file into your new Permissions.tt file.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4A5AF020" wp14:editId="3A091796">
            <wp:extent cx="3771900" cy="18819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899" cy="18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73403C66" w14:textId="7BFB6056" w:rsidR="000C632C" w:rsidRDefault="000C632C" w:rsidP="000E797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Copy over the </w:t>
      </w:r>
      <w:proofErr w:type="spellStart"/>
      <w:r>
        <w:rPr>
          <w:sz w:val="22"/>
          <w:szCs w:val="22"/>
        </w:rPr>
        <w:t>Permissions.ttinclude</w:t>
      </w:r>
      <w:proofErr w:type="spellEnd"/>
      <w:r>
        <w:rPr>
          <w:sz w:val="22"/>
          <w:szCs w:val="22"/>
        </w:rPr>
        <w:t xml:space="preserve"> file as well. </w:t>
      </w:r>
      <w:proofErr w:type="gramStart"/>
      <w:r>
        <w:rPr>
          <w:sz w:val="22"/>
          <w:szCs w:val="22"/>
        </w:rPr>
        <w:t>Same thing,</w:t>
      </w:r>
      <w:proofErr w:type="gramEnd"/>
      <w:r>
        <w:rPr>
          <w:sz w:val="22"/>
          <w:szCs w:val="22"/>
        </w:rPr>
        <w:t xml:space="preserve"> just copy over the content for </w:t>
      </w:r>
      <w:proofErr w:type="spellStart"/>
      <w:r>
        <w:rPr>
          <w:sz w:val="22"/>
          <w:szCs w:val="22"/>
        </w:rPr>
        <w:t>Permissions.ttinclude</w:t>
      </w:r>
      <w:proofErr w:type="spellEnd"/>
      <w:r>
        <w:rPr>
          <w:sz w:val="22"/>
          <w:szCs w:val="22"/>
        </w:rPr>
        <w:t xml:space="preserve"> instead. </w:t>
      </w:r>
    </w:p>
    <w:p w14:paraId="75ABCD68" w14:textId="608D2C75" w:rsidR="000C632C" w:rsidRDefault="000C632C" w:rsidP="000E797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You will notice the </w:t>
      </w:r>
      <w:proofErr w:type="spellStart"/>
      <w:r>
        <w:rPr>
          <w:sz w:val="22"/>
          <w:szCs w:val="22"/>
        </w:rPr>
        <w:t>Permissions.ttinclude</w:t>
      </w:r>
      <w:proofErr w:type="spellEnd"/>
      <w:r>
        <w:rPr>
          <w:sz w:val="22"/>
          <w:szCs w:val="22"/>
        </w:rPr>
        <w:t xml:space="preserve"> file will not be under Permissions.tt</w:t>
      </w:r>
      <w:r w:rsidR="00111FAE">
        <w:rPr>
          <w:sz w:val="22"/>
          <w:szCs w:val="22"/>
        </w:rPr>
        <w:t xml:space="preserve">. This looks lame, so we will go into our </w:t>
      </w:r>
      <w:proofErr w:type="spellStart"/>
      <w:r w:rsidR="00111FAE">
        <w:rPr>
          <w:sz w:val="22"/>
          <w:szCs w:val="22"/>
        </w:rPr>
        <w:t>csproj</w:t>
      </w:r>
      <w:proofErr w:type="spellEnd"/>
      <w:r w:rsidR="00111FAE">
        <w:rPr>
          <w:sz w:val="22"/>
          <w:szCs w:val="22"/>
        </w:rPr>
        <w:t xml:space="preserve"> file to fix it. </w:t>
      </w:r>
      <w:proofErr w:type="gramStart"/>
      <w:r w:rsidR="00111FAE">
        <w:rPr>
          <w:sz w:val="22"/>
          <w:szCs w:val="22"/>
        </w:rPr>
        <w:t>Open up</w:t>
      </w:r>
      <w:proofErr w:type="gramEnd"/>
      <w:r w:rsidR="00111FAE">
        <w:rPr>
          <w:sz w:val="22"/>
          <w:szCs w:val="22"/>
        </w:rPr>
        <w:t xml:space="preserve"> your &lt;</w:t>
      </w:r>
      <w:proofErr w:type="spellStart"/>
      <w:r w:rsidR="00111FAE">
        <w:rPr>
          <w:sz w:val="22"/>
          <w:szCs w:val="22"/>
        </w:rPr>
        <w:t>projectname</w:t>
      </w:r>
      <w:proofErr w:type="spellEnd"/>
      <w:r w:rsidR="00111FAE">
        <w:rPr>
          <w:sz w:val="22"/>
          <w:szCs w:val="22"/>
        </w:rPr>
        <w:t>&gt;.</w:t>
      </w:r>
      <w:proofErr w:type="spellStart"/>
      <w:r w:rsidR="00111FAE">
        <w:rPr>
          <w:sz w:val="22"/>
          <w:szCs w:val="22"/>
        </w:rPr>
        <w:t>csproj</w:t>
      </w:r>
      <w:proofErr w:type="spellEnd"/>
      <w:r w:rsidR="00111FAE">
        <w:rPr>
          <w:sz w:val="22"/>
          <w:szCs w:val="22"/>
        </w:rPr>
        <w:t xml:space="preserve"> file and edit it as shown:</w:t>
      </w:r>
      <w:r w:rsidR="00111FAE">
        <w:rPr>
          <w:sz w:val="22"/>
          <w:szCs w:val="22"/>
        </w:rPr>
        <w:br/>
      </w:r>
      <w:r w:rsidR="00111FAE">
        <w:rPr>
          <w:noProof/>
        </w:rPr>
        <w:drawing>
          <wp:inline distT="0" distB="0" distL="0" distR="0" wp14:anchorId="226EF8C5" wp14:editId="13231086">
            <wp:extent cx="3687233" cy="250582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341" cy="25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FAE">
        <w:rPr>
          <w:sz w:val="22"/>
          <w:szCs w:val="22"/>
        </w:rPr>
        <w:br/>
      </w:r>
    </w:p>
    <w:p w14:paraId="18612B29" w14:textId="426EEE84" w:rsidR="00111FAE" w:rsidRPr="000E797E" w:rsidRDefault="00461145" w:rsidP="000E797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That’s it. You have installed the permissions.tt system. Should look like this: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9C03E05" wp14:editId="63EA1879">
            <wp:extent cx="1682327" cy="1109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931" cy="11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FAE">
        <w:rPr>
          <w:sz w:val="22"/>
          <w:szCs w:val="22"/>
        </w:rPr>
        <w:br/>
      </w:r>
    </w:p>
    <w:p w14:paraId="585BB354" w14:textId="67CC1DBA" w:rsidR="004D25B6" w:rsidRDefault="004D25B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10B1DC" w14:textId="0AC3F51B" w:rsidR="00B76828" w:rsidRPr="006B5D98" w:rsidRDefault="00E63051" w:rsidP="00FF0CF6">
      <w:pPr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lastRenderedPageBreak/>
        <w:t>Configuring the permissions</w:t>
      </w:r>
      <w:r w:rsidR="00B76828" w:rsidRPr="006B5D98">
        <w:rPr>
          <w:color w:val="C00000"/>
          <w:sz w:val="24"/>
          <w:szCs w:val="24"/>
          <w:u w:val="single"/>
        </w:rPr>
        <w:t>:</w:t>
      </w:r>
    </w:p>
    <w:p w14:paraId="242DAD1C" w14:textId="20945A2E" w:rsidR="002762E0" w:rsidRDefault="00EE5693" w:rsidP="00EE5693">
      <w:pPr>
        <w:rPr>
          <w:sz w:val="22"/>
          <w:szCs w:val="22"/>
        </w:rPr>
      </w:pPr>
      <w:r>
        <w:rPr>
          <w:sz w:val="22"/>
          <w:szCs w:val="22"/>
        </w:rPr>
        <w:t xml:space="preserve">Configuring is </w:t>
      </w:r>
      <w:proofErr w:type="gramStart"/>
      <w:r>
        <w:rPr>
          <w:sz w:val="22"/>
          <w:szCs w:val="22"/>
        </w:rPr>
        <w:t>pretty simple</w:t>
      </w:r>
      <w:proofErr w:type="gramEnd"/>
      <w:r>
        <w:rPr>
          <w:sz w:val="22"/>
          <w:szCs w:val="22"/>
        </w:rPr>
        <w:t>. In this example, “</w:t>
      </w:r>
      <w:proofErr w:type="spellStart"/>
      <w:r>
        <w:rPr>
          <w:sz w:val="22"/>
          <w:szCs w:val="22"/>
        </w:rPr>
        <w:t>CanDoIt</w:t>
      </w:r>
      <w:proofErr w:type="spellEnd"/>
      <w:r>
        <w:rPr>
          <w:sz w:val="22"/>
          <w:szCs w:val="22"/>
        </w:rPr>
        <w:t xml:space="preserve">” will become the permission’s variable name, and “do.it” will become the permission’s variable value. </w:t>
      </w:r>
      <w:r w:rsidR="002762E0">
        <w:rPr>
          <w:sz w:val="22"/>
          <w:szCs w:val="22"/>
        </w:rPr>
        <w:t>There are three main things to be configured.</w:t>
      </w:r>
    </w:p>
    <w:p w14:paraId="31B59034" w14:textId="77777777" w:rsidR="002762E0" w:rsidRDefault="002762E0" w:rsidP="002762E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Configure </w:t>
      </w:r>
      <w:r w:rsidRPr="001906AC">
        <w:rPr>
          <w:b/>
          <w:sz w:val="22"/>
          <w:szCs w:val="22"/>
          <w:highlight w:val="cyan"/>
        </w:rPr>
        <w:t>Nodes</w:t>
      </w:r>
      <w:r>
        <w:rPr>
          <w:sz w:val="22"/>
          <w:szCs w:val="22"/>
        </w:rPr>
        <w:t xml:space="preserve"> to name your permission nodes and define how the permissions can be grouped together.</w:t>
      </w:r>
    </w:p>
    <w:p w14:paraId="53B11921" w14:textId="2A66B3EF" w:rsidR="002762E0" w:rsidRDefault="002762E0" w:rsidP="002762E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Configure the </w:t>
      </w:r>
      <w:proofErr w:type="spellStart"/>
      <w:proofErr w:type="gramStart"/>
      <w:r w:rsidRPr="002762E0">
        <w:rPr>
          <w:sz w:val="22"/>
          <w:szCs w:val="22"/>
          <w:highlight w:val="cyan"/>
        </w:rPr>
        <w:t>ConfigureRolePermissions</w:t>
      </w:r>
      <w:proofErr w:type="spellEnd"/>
      <w:r>
        <w:rPr>
          <w:sz w:val="22"/>
          <w:szCs w:val="22"/>
          <w:highlight w:val="cyan"/>
        </w:rPr>
        <w:t>(</w:t>
      </w:r>
      <w:proofErr w:type="gramEnd"/>
      <w:r>
        <w:rPr>
          <w:sz w:val="22"/>
          <w:szCs w:val="22"/>
          <w:highlight w:val="cyan"/>
        </w:rPr>
        <w:t>)</w:t>
      </w:r>
      <w:r>
        <w:rPr>
          <w:sz w:val="22"/>
          <w:szCs w:val="22"/>
        </w:rPr>
        <w:t xml:space="preserve"> method to define which groups get access to which permissions. To make things easier, we can take advantage of wild cards. If you have the permissions:</w:t>
      </w:r>
      <w:r w:rsidRPr="002762E0"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proofErr w:type="spellStart"/>
      <w:r w:rsidRPr="002762E0">
        <w:rPr>
          <w:sz w:val="16"/>
          <w:szCs w:val="16"/>
        </w:rPr>
        <w:t>CanDoKungFoo</w:t>
      </w:r>
      <w:proofErr w:type="spellEnd"/>
      <w:r w:rsidRPr="002762E0">
        <w:rPr>
          <w:sz w:val="16"/>
          <w:szCs w:val="16"/>
        </w:rPr>
        <w:t xml:space="preserve"> = “</w:t>
      </w:r>
      <w:proofErr w:type="spellStart"/>
      <w:r w:rsidRPr="002762E0">
        <w:rPr>
          <w:sz w:val="16"/>
          <w:szCs w:val="16"/>
        </w:rPr>
        <w:t>do.fight.kungfoo</w:t>
      </w:r>
      <w:proofErr w:type="spellEnd"/>
      <w:r w:rsidRPr="002762E0">
        <w:rPr>
          <w:sz w:val="16"/>
          <w:szCs w:val="16"/>
        </w:rPr>
        <w:t xml:space="preserve">”, </w:t>
      </w:r>
      <w:r w:rsidRPr="002762E0">
        <w:rPr>
          <w:sz w:val="16"/>
          <w:szCs w:val="16"/>
        </w:rPr>
        <w:br/>
      </w:r>
      <w:proofErr w:type="spellStart"/>
      <w:r w:rsidRPr="002762E0">
        <w:rPr>
          <w:sz w:val="16"/>
          <w:szCs w:val="16"/>
        </w:rPr>
        <w:t>CanFightKarate</w:t>
      </w:r>
      <w:proofErr w:type="spellEnd"/>
      <w:r w:rsidRPr="002762E0">
        <w:rPr>
          <w:sz w:val="16"/>
          <w:szCs w:val="16"/>
        </w:rPr>
        <w:t xml:space="preserve"> = “</w:t>
      </w:r>
      <w:proofErr w:type="spellStart"/>
      <w:r w:rsidRPr="002762E0">
        <w:rPr>
          <w:sz w:val="16"/>
          <w:szCs w:val="16"/>
        </w:rPr>
        <w:t>do.fight.karate</w:t>
      </w:r>
      <w:proofErr w:type="spellEnd"/>
      <w:r w:rsidRPr="002762E0">
        <w:rPr>
          <w:sz w:val="16"/>
          <w:szCs w:val="16"/>
        </w:rPr>
        <w:t xml:space="preserve">”, </w:t>
      </w:r>
      <w:r w:rsidRPr="002762E0">
        <w:rPr>
          <w:sz w:val="16"/>
          <w:szCs w:val="16"/>
        </w:rPr>
        <w:br/>
      </w:r>
      <w:proofErr w:type="spellStart"/>
      <w:r w:rsidRPr="002762E0">
        <w:rPr>
          <w:sz w:val="16"/>
          <w:szCs w:val="16"/>
        </w:rPr>
        <w:t>CanCodeJava</w:t>
      </w:r>
      <w:proofErr w:type="spellEnd"/>
      <w:r w:rsidRPr="002762E0">
        <w:rPr>
          <w:sz w:val="16"/>
          <w:szCs w:val="16"/>
        </w:rPr>
        <w:t xml:space="preserve"> = “do.code.java”, </w:t>
      </w:r>
      <w:r w:rsidRPr="002762E0">
        <w:rPr>
          <w:sz w:val="16"/>
          <w:szCs w:val="16"/>
        </w:rPr>
        <w:br/>
      </w:r>
      <w:proofErr w:type="spellStart"/>
      <w:r w:rsidRPr="002762E0">
        <w:rPr>
          <w:sz w:val="16"/>
          <w:szCs w:val="16"/>
        </w:rPr>
        <w:t>CanCodeCSharp</w:t>
      </w:r>
      <w:proofErr w:type="spellEnd"/>
      <w:r w:rsidRPr="002762E0">
        <w:rPr>
          <w:sz w:val="16"/>
          <w:szCs w:val="16"/>
        </w:rPr>
        <w:t xml:space="preserve"> = “</w:t>
      </w:r>
      <w:proofErr w:type="spellStart"/>
      <w:r w:rsidRPr="002762E0">
        <w:rPr>
          <w:sz w:val="16"/>
          <w:szCs w:val="16"/>
        </w:rPr>
        <w:t>do.code.c</w:t>
      </w:r>
      <w:proofErr w:type="spellEnd"/>
      <w:r w:rsidRPr="002762E0">
        <w:rPr>
          <w:sz w:val="16"/>
          <w:szCs w:val="16"/>
        </w:rPr>
        <w:t xml:space="preserve">-sharp”, </w:t>
      </w:r>
      <w:r>
        <w:rPr>
          <w:sz w:val="16"/>
          <w:szCs w:val="16"/>
        </w:rPr>
        <w:br/>
      </w:r>
      <w:r>
        <w:rPr>
          <w:sz w:val="22"/>
          <w:szCs w:val="16"/>
        </w:rPr>
        <w:t>Then you can give group “Foo” the permission node, “</w:t>
      </w:r>
      <w:proofErr w:type="spellStart"/>
      <w:r>
        <w:rPr>
          <w:sz w:val="22"/>
          <w:szCs w:val="16"/>
        </w:rPr>
        <w:t>do.code</w:t>
      </w:r>
      <w:proofErr w:type="spellEnd"/>
      <w:r>
        <w:rPr>
          <w:sz w:val="22"/>
          <w:szCs w:val="16"/>
        </w:rPr>
        <w:t xml:space="preserve">.*” to assign both </w:t>
      </w:r>
      <w:proofErr w:type="spellStart"/>
      <w:r>
        <w:rPr>
          <w:sz w:val="22"/>
          <w:szCs w:val="16"/>
        </w:rPr>
        <w:t>CanCodeJava</w:t>
      </w:r>
      <w:proofErr w:type="spellEnd"/>
      <w:r>
        <w:rPr>
          <w:sz w:val="22"/>
          <w:szCs w:val="16"/>
        </w:rPr>
        <w:t xml:space="preserve"> and </w:t>
      </w:r>
      <w:proofErr w:type="spellStart"/>
      <w:r>
        <w:rPr>
          <w:sz w:val="22"/>
          <w:szCs w:val="16"/>
        </w:rPr>
        <w:t>CanCodeCSharp</w:t>
      </w:r>
      <w:proofErr w:type="spellEnd"/>
      <w:r>
        <w:rPr>
          <w:sz w:val="22"/>
          <w:szCs w:val="16"/>
        </w:rPr>
        <w:t xml:space="preserve"> to that group. (During compile time the wild card will be expanded for </w:t>
      </w:r>
      <w:proofErr w:type="gramStart"/>
      <w:r>
        <w:rPr>
          <w:sz w:val="22"/>
          <w:szCs w:val="16"/>
        </w:rPr>
        <w:t>o(</w:t>
      </w:r>
      <w:proofErr w:type="gramEnd"/>
      <w:r>
        <w:rPr>
          <w:sz w:val="22"/>
          <w:szCs w:val="16"/>
        </w:rPr>
        <w:t>1) look-up at run-time)</w:t>
      </w:r>
    </w:p>
    <w:p w14:paraId="2666B1C5" w14:textId="1A24C6FF" w:rsidR="002762E0" w:rsidRDefault="002762E0" w:rsidP="002762E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Assign a custom function to the </w:t>
      </w:r>
      <w:proofErr w:type="spellStart"/>
      <w:r w:rsidRPr="002762E0">
        <w:rPr>
          <w:sz w:val="22"/>
          <w:szCs w:val="22"/>
          <w:highlight w:val="cyan"/>
        </w:rPr>
        <w:t>Permissions.</w:t>
      </w:r>
      <w:r w:rsidRPr="002762E0">
        <w:rPr>
          <w:rFonts w:ascii="Consolas" w:hAnsi="Consolas" w:cs="Consolas"/>
          <w:color w:val="000000"/>
          <w:sz w:val="19"/>
          <w:szCs w:val="19"/>
          <w:highlight w:val="cyan"/>
        </w:rPr>
        <w:t>GetRolesCsvForCurrentUser</w:t>
      </w:r>
      <w:proofErr w:type="spellEnd"/>
      <w:r w:rsidRPr="002762E0">
        <w:rPr>
          <w:rFonts w:ascii="Consolas" w:hAnsi="Consolas" w:cs="Consolas"/>
          <w:color w:val="000000"/>
          <w:sz w:val="19"/>
          <w:szCs w:val="19"/>
        </w:rPr>
        <w:t xml:space="preserve"> 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at run time if you want roles to come from a different source than claims. </w:t>
      </w:r>
    </w:p>
    <w:p w14:paraId="385EC89F" w14:textId="0756C23F" w:rsidR="00EE5693" w:rsidRDefault="00EE5693" w:rsidP="00EE5693">
      <w:pPr>
        <w:rPr>
          <w:sz w:val="22"/>
          <w:szCs w:val="22"/>
        </w:rPr>
      </w:pPr>
      <w:r>
        <w:rPr>
          <w:sz w:val="22"/>
          <w:szCs w:val="22"/>
        </w:rPr>
        <w:t>Best practices:</w:t>
      </w:r>
    </w:p>
    <w:p w14:paraId="27435275" w14:textId="77777777" w:rsidR="00EE5693" w:rsidRDefault="00EE5693" w:rsidP="00EE5693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Enums</w:t>
      </w:r>
      <w:proofErr w:type="spellEnd"/>
      <w:r>
        <w:rPr>
          <w:sz w:val="22"/>
          <w:szCs w:val="22"/>
        </w:rPr>
        <w:t xml:space="preserve">  keys</w:t>
      </w:r>
      <w:proofErr w:type="gramEnd"/>
      <w:r>
        <w:rPr>
          <w:sz w:val="22"/>
          <w:szCs w:val="22"/>
        </w:rPr>
        <w:t xml:space="preserve"> should start with</w:t>
      </w:r>
      <w:r w:rsidRPr="00EE5693">
        <w:rPr>
          <w:b/>
          <w:sz w:val="22"/>
          <w:szCs w:val="22"/>
        </w:rPr>
        <w:t xml:space="preserve"> Is</w:t>
      </w:r>
      <w:r>
        <w:rPr>
          <w:sz w:val="22"/>
          <w:szCs w:val="22"/>
        </w:rPr>
        <w:t xml:space="preserve">, </w:t>
      </w:r>
      <w:r w:rsidRPr="00EE5693">
        <w:rPr>
          <w:b/>
          <w:sz w:val="22"/>
          <w:szCs w:val="22"/>
        </w:rPr>
        <w:t>Has</w:t>
      </w:r>
      <w:r>
        <w:rPr>
          <w:sz w:val="22"/>
          <w:szCs w:val="22"/>
        </w:rPr>
        <w:t xml:space="preserve">, </w:t>
      </w:r>
      <w:r w:rsidRPr="00EE5693">
        <w:rPr>
          <w:b/>
          <w:sz w:val="22"/>
          <w:szCs w:val="22"/>
        </w:rPr>
        <w:t>Can</w:t>
      </w:r>
      <w:r>
        <w:rPr>
          <w:sz w:val="22"/>
          <w:szCs w:val="22"/>
        </w:rPr>
        <w:t>, or other Boolean-</w:t>
      </w:r>
      <w:proofErr w:type="spellStart"/>
      <w:r>
        <w:rPr>
          <w:sz w:val="22"/>
          <w:szCs w:val="22"/>
        </w:rPr>
        <w:t>ish</w:t>
      </w:r>
      <w:proofErr w:type="spellEnd"/>
      <w:r>
        <w:rPr>
          <w:sz w:val="22"/>
          <w:szCs w:val="22"/>
        </w:rPr>
        <w:t xml:space="preserve"> names</w:t>
      </w:r>
    </w:p>
    <w:p w14:paraId="3B722661" w14:textId="256DCE57" w:rsidR="002123D2" w:rsidRDefault="00EE5693" w:rsidP="002762E0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Enum</w:t>
      </w:r>
      <w:proofErr w:type="spellEnd"/>
      <w:r>
        <w:rPr>
          <w:sz w:val="22"/>
          <w:szCs w:val="22"/>
        </w:rPr>
        <w:t xml:space="preserve"> values should use periods to separate different sections or </w:t>
      </w:r>
      <w:r w:rsidR="00E57948">
        <w:rPr>
          <w:sz w:val="22"/>
          <w:szCs w:val="22"/>
        </w:rPr>
        <w:t>hierarchies</w:t>
      </w:r>
      <w:r>
        <w:rPr>
          <w:sz w:val="22"/>
          <w:szCs w:val="22"/>
        </w:rPr>
        <w:t xml:space="preserve"> in the permission node system. For example, </w:t>
      </w:r>
      <w:proofErr w:type="spellStart"/>
      <w:proofErr w:type="gramStart"/>
      <w:r w:rsidRPr="00E57948">
        <w:rPr>
          <w:b/>
          <w:sz w:val="22"/>
          <w:szCs w:val="22"/>
        </w:rPr>
        <w:t>allow.a</w:t>
      </w:r>
      <w:proofErr w:type="spellEnd"/>
      <w:proofErr w:type="gramEnd"/>
      <w:r>
        <w:rPr>
          <w:sz w:val="22"/>
          <w:szCs w:val="22"/>
        </w:rPr>
        <w:t xml:space="preserve"> and </w:t>
      </w:r>
      <w:proofErr w:type="spellStart"/>
      <w:r w:rsidRPr="00E57948">
        <w:rPr>
          <w:b/>
          <w:sz w:val="22"/>
          <w:szCs w:val="22"/>
        </w:rPr>
        <w:t>allow.b</w:t>
      </w:r>
      <w:proofErr w:type="spellEnd"/>
      <w:r>
        <w:rPr>
          <w:sz w:val="22"/>
          <w:szCs w:val="22"/>
        </w:rPr>
        <w:t xml:space="preserve"> are both separated after the common “</w:t>
      </w:r>
      <w:r w:rsidRPr="00E57948"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” section. </w:t>
      </w:r>
      <w:r w:rsidR="00F844E5">
        <w:rPr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F844E5" w14:paraId="16BB50C2" w14:textId="77777777" w:rsidTr="00F844E5">
        <w:tc>
          <w:tcPr>
            <w:tcW w:w="4675" w:type="dxa"/>
          </w:tcPr>
          <w:p w14:paraId="7E1B9E6D" w14:textId="1B8C309F" w:rsidR="00F844E5" w:rsidRDefault="00F844E5" w:rsidP="00F844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T4 (Config)</w:t>
            </w:r>
          </w:p>
        </w:tc>
        <w:tc>
          <w:tcPr>
            <w:tcW w:w="4675" w:type="dxa"/>
          </w:tcPr>
          <w:p w14:paraId="0499AE2B" w14:textId="6BA73905" w:rsidR="00F844E5" w:rsidRDefault="00F844E5" w:rsidP="00F844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 (Output)</w:t>
            </w:r>
          </w:p>
        </w:tc>
      </w:tr>
      <w:tr w:rsidR="00F844E5" w14:paraId="7F076E46" w14:textId="77777777" w:rsidTr="00F844E5">
        <w:tc>
          <w:tcPr>
            <w:tcW w:w="4675" w:type="dxa"/>
          </w:tcPr>
          <w:p w14:paraId="1F782612" w14:textId="597D1792" w:rsidR="00F844E5" w:rsidRDefault="00F844E5" w:rsidP="00F844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FE1E7F" wp14:editId="65E4BB89">
                  <wp:extent cx="3184966" cy="278820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374" cy="27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59470C" w14:textId="57B1D236" w:rsidR="00F844E5" w:rsidRDefault="00F844E5" w:rsidP="00F844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DA3A08" wp14:editId="1D495FE7">
                  <wp:extent cx="3611617" cy="2086325"/>
                  <wp:effectExtent l="0" t="0" r="825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35" cy="212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1B1E2" w14:textId="77777777" w:rsidR="00F844E5" w:rsidRPr="00F844E5" w:rsidRDefault="00F844E5" w:rsidP="00F844E5">
      <w:pPr>
        <w:rPr>
          <w:sz w:val="22"/>
          <w:szCs w:val="22"/>
        </w:rPr>
      </w:pPr>
    </w:p>
    <w:p w14:paraId="583A6042" w14:textId="4DC35412" w:rsidR="00F844E5" w:rsidRPr="00F844E5" w:rsidRDefault="00F844E5" w:rsidP="00F844E5">
      <w:pPr>
        <w:rPr>
          <w:sz w:val="22"/>
          <w:szCs w:val="22"/>
        </w:rPr>
      </w:pPr>
    </w:p>
    <w:p w14:paraId="50EFA31C" w14:textId="77777777" w:rsidR="002123D2" w:rsidRDefault="002123D2" w:rsidP="00FF0CF6">
      <w:pPr>
        <w:rPr>
          <w:sz w:val="22"/>
          <w:szCs w:val="22"/>
        </w:rPr>
      </w:pPr>
    </w:p>
    <w:p w14:paraId="1D831DE3" w14:textId="1273C2B8" w:rsidR="007F39C3" w:rsidRPr="006B5D98" w:rsidRDefault="00AB6FF7" w:rsidP="00FF0CF6">
      <w:pPr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lastRenderedPageBreak/>
        <w:t>Using Permissions</w:t>
      </w:r>
      <w:r w:rsidR="0006113D" w:rsidRPr="006B5D98">
        <w:rPr>
          <w:color w:val="C00000"/>
          <w:sz w:val="24"/>
          <w:szCs w:val="24"/>
          <w:u w:val="single"/>
        </w:rPr>
        <w:t>:</w:t>
      </w:r>
    </w:p>
    <w:p w14:paraId="1135132A" w14:textId="0C5F8443" w:rsidR="00C751F4" w:rsidRDefault="00C751F4" w:rsidP="00FF0CF6">
      <w:pPr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HasPermission</w:t>
      </w:r>
      <w:proofErr w:type="spellEnd"/>
      <w:r>
        <w:rPr>
          <w:sz w:val="22"/>
          <w:szCs w:val="22"/>
        </w:rPr>
        <w:t>] attributes can be applied to controllers and to action routes. They work similar to how you would use an [</w:t>
      </w:r>
      <w:hyperlink r:id="rId19" w:history="1">
        <w:r w:rsidRPr="00C751F4">
          <w:rPr>
            <w:rStyle w:val="Hyperlink"/>
            <w:sz w:val="22"/>
            <w:szCs w:val="22"/>
          </w:rPr>
          <w:t>Authorize</w:t>
        </w:r>
      </w:hyperlink>
      <w:r>
        <w:rPr>
          <w:sz w:val="22"/>
          <w:szCs w:val="22"/>
        </w:rPr>
        <w:t xml:space="preserve">] attribute, except instead of passing a comma separated list of roles, you pass in the permissions you want to allow.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792"/>
      </w:tblGrid>
      <w:tr w:rsidR="00416295" w14:paraId="65482D4F" w14:textId="77777777" w:rsidTr="008B1812">
        <w:tc>
          <w:tcPr>
            <w:tcW w:w="9350" w:type="dxa"/>
            <w:gridSpan w:val="2"/>
          </w:tcPr>
          <w:p w14:paraId="2BCFFDCB" w14:textId="2FC50442" w:rsidR="00416295" w:rsidRDefault="00416295" w:rsidP="00FF0C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Controller attribute example</w:t>
            </w:r>
          </w:p>
        </w:tc>
      </w:tr>
      <w:tr w:rsidR="00416295" w14:paraId="1C7E358C" w14:textId="77777777" w:rsidTr="00416295">
        <w:tc>
          <w:tcPr>
            <w:tcW w:w="4558" w:type="dxa"/>
          </w:tcPr>
          <w:p w14:paraId="21D273B5" w14:textId="56344E1C" w:rsidR="00C751F4" w:rsidRDefault="00C751F4" w:rsidP="00FF0C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</w:t>
            </w:r>
          </w:p>
        </w:tc>
        <w:tc>
          <w:tcPr>
            <w:tcW w:w="4792" w:type="dxa"/>
          </w:tcPr>
          <w:p w14:paraId="21AD9D74" w14:textId="67E14625" w:rsidR="00C751F4" w:rsidRDefault="00C751F4" w:rsidP="00FF0C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</w:t>
            </w:r>
          </w:p>
        </w:tc>
      </w:tr>
      <w:tr w:rsidR="00416295" w14:paraId="020122BD" w14:textId="77777777" w:rsidTr="00416295">
        <w:tc>
          <w:tcPr>
            <w:tcW w:w="4558" w:type="dxa"/>
          </w:tcPr>
          <w:p w14:paraId="30D8FD7F" w14:textId="3FF875EF" w:rsidR="00C751F4" w:rsidRDefault="00416295" w:rsidP="00FF0CF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9D12692" wp14:editId="32D3F077">
                  <wp:extent cx="2784394" cy="20231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42" cy="205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</w:tcPr>
          <w:p w14:paraId="0F81CF7A" w14:textId="2FFFA59A" w:rsidR="00C751F4" w:rsidRDefault="00C751F4" w:rsidP="00FF0CF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80DF9B" wp14:editId="540F3545">
                  <wp:extent cx="2929449" cy="2041538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945" cy="207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BFF75" w14:textId="42A581AB" w:rsidR="00AD4B05" w:rsidRDefault="00AD4B05" w:rsidP="00FF0CF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95" w14:paraId="39FD1621" w14:textId="77777777" w:rsidTr="007347A9">
        <w:tc>
          <w:tcPr>
            <w:tcW w:w="9350" w:type="dxa"/>
          </w:tcPr>
          <w:p w14:paraId="1A1886EE" w14:textId="68D9C4E7" w:rsidR="00416295" w:rsidRDefault="00416295" w:rsidP="00FF0C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In-code example. (You can call this from anywhere)</w:t>
            </w:r>
          </w:p>
        </w:tc>
      </w:tr>
      <w:tr w:rsidR="00416295" w14:paraId="00CC92DE" w14:textId="77777777" w:rsidTr="00D7186F">
        <w:tc>
          <w:tcPr>
            <w:tcW w:w="9350" w:type="dxa"/>
          </w:tcPr>
          <w:p w14:paraId="5CCB5D71" w14:textId="0D4A4245" w:rsidR="00416295" w:rsidRDefault="00416295" w:rsidP="00FF0C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 + After</w:t>
            </w:r>
          </w:p>
        </w:tc>
      </w:tr>
      <w:tr w:rsidR="00416295" w14:paraId="45F25327" w14:textId="77777777" w:rsidTr="00A1552A">
        <w:tc>
          <w:tcPr>
            <w:tcW w:w="9350" w:type="dxa"/>
          </w:tcPr>
          <w:p w14:paraId="64D7CD78" w14:textId="6F7ED77D" w:rsidR="00416295" w:rsidRDefault="00416295" w:rsidP="00FF0CF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0ADE03" wp14:editId="613D36A9">
                  <wp:extent cx="3996481" cy="2136581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85" cy="217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C5D67" w14:textId="05496B74" w:rsidR="00416295" w:rsidRDefault="00416295" w:rsidP="00FF0CF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66E" w14:paraId="105F2099" w14:textId="77777777" w:rsidTr="00AC69BD">
        <w:tc>
          <w:tcPr>
            <w:tcW w:w="9350" w:type="dxa"/>
          </w:tcPr>
          <w:p w14:paraId="72145072" w14:textId="758613D5" w:rsidR="000A066E" w:rsidRDefault="000A066E" w:rsidP="00FF0C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In-view example</w:t>
            </w:r>
          </w:p>
        </w:tc>
      </w:tr>
      <w:tr w:rsidR="00F46599" w14:paraId="5055CA53" w14:textId="77777777" w:rsidTr="009541C1">
        <w:tc>
          <w:tcPr>
            <w:tcW w:w="9350" w:type="dxa"/>
          </w:tcPr>
          <w:p w14:paraId="5229E8E0" w14:textId="77777777" w:rsid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61C6DF" w14:textId="50F2E2B9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F46599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Index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46599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719EC7D" w14:textId="10F0C58D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The </w:t>
            </w:r>
            <w:proofErr w:type="spellStart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tempurature</w:t>
            </w:r>
            <w:proofErr w:type="spell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 currently X degrees F.</w:t>
            </w:r>
          </w:p>
          <w:p w14:paraId="5892427D" w14:textId="1077914E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Permissions.HasPermission</w:t>
            </w:r>
            <w:proofErr w:type="spell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Permissions.CanAdjustTempurature</w:t>
            </w:r>
            <w:proofErr w:type="spell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E0D8F65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69431BA9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using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Html.BeginForm</w:t>
            </w:r>
            <w:proofErr w:type="spell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4659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F46599">
              <w:rPr>
                <w:rFonts w:ascii="Consolas" w:hAnsi="Consolas" w:cs="Consolas"/>
                <w:color w:val="A31515"/>
                <w:sz w:val="16"/>
                <w:szCs w:val="16"/>
              </w:rPr>
              <w:t>SetTempurature</w:t>
            </w:r>
            <w:proofErr w:type="spellEnd"/>
            <w:r w:rsidRPr="00F4659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4659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F46599">
              <w:rPr>
                <w:rFonts w:ascii="Consolas" w:hAnsi="Consolas" w:cs="Consolas"/>
                <w:color w:val="A31515"/>
                <w:sz w:val="16"/>
                <w:szCs w:val="16"/>
              </w:rPr>
              <w:t>Tempurature</w:t>
            </w:r>
            <w:proofErr w:type="spellEnd"/>
            <w:r w:rsidRPr="00F4659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FormMethod.Post</w:t>
            </w:r>
            <w:proofErr w:type="spell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4E8919E8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7CB3A841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spellStart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Html.AntiForgeryToken</w:t>
            </w:r>
            <w:proofErr w:type="spellEnd"/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134AB0B0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3691925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46599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F4659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  </w:t>
            </w:r>
            <w:proofErr w:type="spellStart"/>
            <w:r w:rsidRPr="00F46599">
              <w:rPr>
                <w:rFonts w:ascii="Consolas" w:hAnsi="Consolas" w:cs="Consolas"/>
                <w:color w:val="008000"/>
                <w:sz w:val="16"/>
                <w:szCs w:val="16"/>
              </w:rPr>
              <w:t>TextBox</w:t>
            </w:r>
            <w:proofErr w:type="spellEnd"/>
            <w:proofErr w:type="gramEnd"/>
            <w:r w:rsidRPr="00F4659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with inputs  ...</w:t>
            </w:r>
          </w:p>
          <w:p w14:paraId="61F665AC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46599">
              <w:rPr>
                <w:rFonts w:ascii="Consolas" w:hAnsi="Consolas" w:cs="Consolas"/>
                <w:color w:val="008000"/>
                <w:sz w:val="16"/>
                <w:szCs w:val="16"/>
              </w:rPr>
              <w:t>// ....</w:t>
            </w:r>
          </w:p>
          <w:p w14:paraId="44A77165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46599">
              <w:rPr>
                <w:rFonts w:ascii="Consolas" w:hAnsi="Consolas" w:cs="Consolas"/>
                <w:color w:val="008000"/>
                <w:sz w:val="16"/>
                <w:szCs w:val="16"/>
              </w:rPr>
              <w:t>// ....</w:t>
            </w:r>
          </w:p>
          <w:p w14:paraId="66B5F778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DE3B73E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F46599">
              <w:rPr>
                <w:rFonts w:ascii="Consolas" w:hAnsi="Consolas" w:cs="Consolas"/>
                <w:color w:val="800000"/>
                <w:sz w:val="16"/>
                <w:szCs w:val="16"/>
              </w:rPr>
              <w:t>button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46599">
              <w:rPr>
                <w:rFonts w:ascii="Consolas" w:hAnsi="Consolas" w:cs="Consolas"/>
                <w:color w:val="FF0000"/>
                <w:sz w:val="16"/>
                <w:szCs w:val="16"/>
              </w:rPr>
              <w:t>type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="submit"&gt;</w:t>
            </w: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Submit Changes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46599">
              <w:rPr>
                <w:rFonts w:ascii="Consolas" w:hAnsi="Consolas" w:cs="Consolas"/>
                <w:color w:val="800000"/>
                <w:sz w:val="16"/>
                <w:szCs w:val="16"/>
              </w:rPr>
              <w:t>button</w:t>
            </w:r>
            <w:r w:rsidRPr="00F4659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53F9C101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}</w:t>
            </w:r>
          </w:p>
          <w:p w14:paraId="2F6E2A64" w14:textId="77777777" w:rsidR="00F46599" w:rsidRPr="00F46599" w:rsidRDefault="00F46599" w:rsidP="00F4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4659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1B24D8C" w14:textId="77777777" w:rsidR="00F46599" w:rsidRDefault="00F46599" w:rsidP="00FF0CF6">
            <w:pPr>
              <w:rPr>
                <w:sz w:val="22"/>
                <w:szCs w:val="22"/>
              </w:rPr>
            </w:pPr>
          </w:p>
        </w:tc>
      </w:tr>
    </w:tbl>
    <w:p w14:paraId="6CABE8ED" w14:textId="77777777" w:rsidR="000A066E" w:rsidRDefault="000A066E" w:rsidP="00FF0CF6">
      <w:pPr>
        <w:rPr>
          <w:sz w:val="22"/>
          <w:szCs w:val="22"/>
        </w:rPr>
      </w:pPr>
    </w:p>
    <w:p w14:paraId="29D7ABEB" w14:textId="26601B63" w:rsidR="003A06C4" w:rsidRDefault="003A06C4" w:rsidP="00FF0CF6">
      <w:pPr>
        <w:rPr>
          <w:sz w:val="22"/>
          <w:szCs w:val="22"/>
        </w:rPr>
      </w:pPr>
      <w:r w:rsidRPr="000A066E">
        <w:rPr>
          <w:sz w:val="22"/>
          <w:szCs w:val="22"/>
          <w:highlight w:val="yellow"/>
        </w:rPr>
        <w:t xml:space="preserve">You can start to see how a lack of a </w:t>
      </w:r>
      <w:r w:rsidR="000A066E" w:rsidRPr="000A066E">
        <w:rPr>
          <w:sz w:val="22"/>
          <w:szCs w:val="22"/>
          <w:highlight w:val="yellow"/>
        </w:rPr>
        <w:t>permissions</w:t>
      </w:r>
      <w:r w:rsidRPr="000A066E">
        <w:rPr>
          <w:sz w:val="22"/>
          <w:szCs w:val="22"/>
          <w:highlight w:val="yellow"/>
        </w:rPr>
        <w:t xml:space="preserve"> system could become confusing as more and more logic </w:t>
      </w:r>
      <w:r w:rsidR="000A066E" w:rsidRPr="000A066E">
        <w:rPr>
          <w:sz w:val="22"/>
          <w:szCs w:val="22"/>
          <w:highlight w:val="yellow"/>
        </w:rPr>
        <w:t>and roles are added to the code.</w:t>
      </w:r>
      <w:r w:rsidR="00F46599">
        <w:rPr>
          <w:sz w:val="22"/>
          <w:szCs w:val="22"/>
          <w:highlight w:val="yellow"/>
        </w:rPr>
        <w:t xml:space="preserve"> It isn’t sustainable in larger systems. </w:t>
      </w:r>
      <w:proofErr w:type="gramStart"/>
      <w:r w:rsidR="00F46599">
        <w:rPr>
          <w:sz w:val="22"/>
          <w:szCs w:val="22"/>
          <w:highlight w:val="yellow"/>
        </w:rPr>
        <w:t>So</w:t>
      </w:r>
      <w:proofErr w:type="gramEnd"/>
      <w:r w:rsidR="00F46599">
        <w:rPr>
          <w:sz w:val="22"/>
          <w:szCs w:val="22"/>
          <w:highlight w:val="yellow"/>
        </w:rPr>
        <w:t xml:space="preserve"> you need to switch to permissions. But that can be a lot of work. The nice thing about system is that it works well with small systems too. Configuration is </w:t>
      </w:r>
      <w:proofErr w:type="gramStart"/>
      <w:r w:rsidR="00F46599">
        <w:rPr>
          <w:sz w:val="22"/>
          <w:szCs w:val="22"/>
          <w:highlight w:val="yellow"/>
        </w:rPr>
        <w:t>pretty minimal</w:t>
      </w:r>
      <w:proofErr w:type="gramEnd"/>
      <w:r w:rsidR="00F46599">
        <w:rPr>
          <w:sz w:val="22"/>
          <w:szCs w:val="22"/>
          <w:highlight w:val="yellow"/>
        </w:rPr>
        <w:t xml:space="preserve"> and the footprint/ overhead of the core system itself is tiny.</w:t>
      </w:r>
      <w:r w:rsidR="000A066E">
        <w:rPr>
          <w:sz w:val="22"/>
          <w:szCs w:val="22"/>
        </w:rPr>
        <w:t xml:space="preserve"> </w:t>
      </w:r>
    </w:p>
    <w:p w14:paraId="4DA8D3A4" w14:textId="77777777" w:rsidR="00C751F4" w:rsidRDefault="00C751F4" w:rsidP="00FF0CF6">
      <w:pPr>
        <w:rPr>
          <w:sz w:val="22"/>
          <w:szCs w:val="22"/>
        </w:rPr>
      </w:pPr>
    </w:p>
    <w:p w14:paraId="142F542F" w14:textId="77777777" w:rsidR="00875AFB" w:rsidRPr="000D2B12" w:rsidRDefault="00875AFB" w:rsidP="00FF0CF6">
      <w:pPr>
        <w:rPr>
          <w:color w:val="4472C4" w:themeColor="accent1"/>
          <w:sz w:val="22"/>
          <w:szCs w:val="22"/>
          <w:u w:val="single"/>
        </w:rPr>
      </w:pPr>
    </w:p>
    <w:sectPr w:rsidR="00875AFB" w:rsidRPr="000D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E90F2" w14:textId="77777777" w:rsidR="00D71C53" w:rsidRDefault="00D71C53" w:rsidP="00012273">
      <w:pPr>
        <w:spacing w:after="0" w:line="240" w:lineRule="auto"/>
      </w:pPr>
      <w:r>
        <w:separator/>
      </w:r>
    </w:p>
  </w:endnote>
  <w:endnote w:type="continuationSeparator" w:id="0">
    <w:p w14:paraId="5FB14735" w14:textId="77777777" w:rsidR="00D71C53" w:rsidRDefault="00D71C53" w:rsidP="0001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6FD41" w14:textId="77777777" w:rsidR="00D71C53" w:rsidRDefault="00D71C53" w:rsidP="00012273">
      <w:pPr>
        <w:spacing w:after="0" w:line="240" w:lineRule="auto"/>
      </w:pPr>
      <w:r>
        <w:separator/>
      </w:r>
    </w:p>
  </w:footnote>
  <w:footnote w:type="continuationSeparator" w:id="0">
    <w:p w14:paraId="45F3FD70" w14:textId="77777777" w:rsidR="00D71C53" w:rsidRDefault="00D71C53" w:rsidP="0001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57A0"/>
    <w:multiLevelType w:val="hybridMultilevel"/>
    <w:tmpl w:val="D346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2510"/>
    <w:multiLevelType w:val="hybridMultilevel"/>
    <w:tmpl w:val="0E20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340F9"/>
    <w:multiLevelType w:val="hybridMultilevel"/>
    <w:tmpl w:val="BAFA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3EF9"/>
    <w:multiLevelType w:val="hybridMultilevel"/>
    <w:tmpl w:val="4DB8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7815"/>
    <w:multiLevelType w:val="hybridMultilevel"/>
    <w:tmpl w:val="11CE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372A"/>
    <w:multiLevelType w:val="hybridMultilevel"/>
    <w:tmpl w:val="3D96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35135"/>
    <w:multiLevelType w:val="hybridMultilevel"/>
    <w:tmpl w:val="BF00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A36F0"/>
    <w:multiLevelType w:val="hybridMultilevel"/>
    <w:tmpl w:val="C4AEB8A6"/>
    <w:lvl w:ilvl="0" w:tplc="478E8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0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A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66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C3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6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B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06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23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3"/>
    <w:rsid w:val="00007E02"/>
    <w:rsid w:val="00012273"/>
    <w:rsid w:val="00012BFD"/>
    <w:rsid w:val="00021850"/>
    <w:rsid w:val="00024E3B"/>
    <w:rsid w:val="000378F5"/>
    <w:rsid w:val="00047587"/>
    <w:rsid w:val="00056067"/>
    <w:rsid w:val="0006113D"/>
    <w:rsid w:val="000646A0"/>
    <w:rsid w:val="00074FB8"/>
    <w:rsid w:val="0007542C"/>
    <w:rsid w:val="000806BB"/>
    <w:rsid w:val="00084D54"/>
    <w:rsid w:val="000A066E"/>
    <w:rsid w:val="000A365A"/>
    <w:rsid w:val="000A592C"/>
    <w:rsid w:val="000A6059"/>
    <w:rsid w:val="000B2F37"/>
    <w:rsid w:val="000B658B"/>
    <w:rsid w:val="000C632C"/>
    <w:rsid w:val="000C7DB4"/>
    <w:rsid w:val="000D2B12"/>
    <w:rsid w:val="000E659E"/>
    <w:rsid w:val="000E797E"/>
    <w:rsid w:val="00111FAE"/>
    <w:rsid w:val="001129EA"/>
    <w:rsid w:val="00116BE6"/>
    <w:rsid w:val="00122751"/>
    <w:rsid w:val="00125B3B"/>
    <w:rsid w:val="0013267B"/>
    <w:rsid w:val="00134717"/>
    <w:rsid w:val="001424C9"/>
    <w:rsid w:val="00152310"/>
    <w:rsid w:val="001644CF"/>
    <w:rsid w:val="00167EC7"/>
    <w:rsid w:val="00185AB5"/>
    <w:rsid w:val="001906AC"/>
    <w:rsid w:val="0019507C"/>
    <w:rsid w:val="001A091D"/>
    <w:rsid w:val="001C10C6"/>
    <w:rsid w:val="001C3B12"/>
    <w:rsid w:val="001C7A8B"/>
    <w:rsid w:val="001D1C03"/>
    <w:rsid w:val="001D4175"/>
    <w:rsid w:val="001D6955"/>
    <w:rsid w:val="001D7075"/>
    <w:rsid w:val="002031CA"/>
    <w:rsid w:val="002063FE"/>
    <w:rsid w:val="002123D2"/>
    <w:rsid w:val="002176A5"/>
    <w:rsid w:val="002431B9"/>
    <w:rsid w:val="00247056"/>
    <w:rsid w:val="00251DF9"/>
    <w:rsid w:val="002669FA"/>
    <w:rsid w:val="00273452"/>
    <w:rsid w:val="002762E0"/>
    <w:rsid w:val="00284D08"/>
    <w:rsid w:val="00292663"/>
    <w:rsid w:val="002A0583"/>
    <w:rsid w:val="002C4017"/>
    <w:rsid w:val="002D6F7D"/>
    <w:rsid w:val="002F2E38"/>
    <w:rsid w:val="002F6233"/>
    <w:rsid w:val="00305D72"/>
    <w:rsid w:val="00313E12"/>
    <w:rsid w:val="0032141C"/>
    <w:rsid w:val="00321C5B"/>
    <w:rsid w:val="00325787"/>
    <w:rsid w:val="00325998"/>
    <w:rsid w:val="00342B04"/>
    <w:rsid w:val="00343270"/>
    <w:rsid w:val="00352445"/>
    <w:rsid w:val="003610B0"/>
    <w:rsid w:val="003633ED"/>
    <w:rsid w:val="00372614"/>
    <w:rsid w:val="0037422B"/>
    <w:rsid w:val="00376E23"/>
    <w:rsid w:val="00382344"/>
    <w:rsid w:val="003835A9"/>
    <w:rsid w:val="00386476"/>
    <w:rsid w:val="0038776E"/>
    <w:rsid w:val="003969FD"/>
    <w:rsid w:val="00396C08"/>
    <w:rsid w:val="003972D0"/>
    <w:rsid w:val="003A06C4"/>
    <w:rsid w:val="003A3761"/>
    <w:rsid w:val="003C39BA"/>
    <w:rsid w:val="003D07D1"/>
    <w:rsid w:val="003D19AB"/>
    <w:rsid w:val="0041625F"/>
    <w:rsid w:val="00416295"/>
    <w:rsid w:val="00422A98"/>
    <w:rsid w:val="004306C1"/>
    <w:rsid w:val="00461145"/>
    <w:rsid w:val="004724B3"/>
    <w:rsid w:val="00472A38"/>
    <w:rsid w:val="004832B9"/>
    <w:rsid w:val="00483A73"/>
    <w:rsid w:val="004B101A"/>
    <w:rsid w:val="004D25B6"/>
    <w:rsid w:val="004D702B"/>
    <w:rsid w:val="004E5494"/>
    <w:rsid w:val="004F4049"/>
    <w:rsid w:val="005010B3"/>
    <w:rsid w:val="00504100"/>
    <w:rsid w:val="0051511A"/>
    <w:rsid w:val="005249EB"/>
    <w:rsid w:val="0055040F"/>
    <w:rsid w:val="00572EF5"/>
    <w:rsid w:val="00580DD5"/>
    <w:rsid w:val="005930E0"/>
    <w:rsid w:val="0059415B"/>
    <w:rsid w:val="0059500D"/>
    <w:rsid w:val="005A013D"/>
    <w:rsid w:val="005B3F19"/>
    <w:rsid w:val="005B3FBF"/>
    <w:rsid w:val="005B4BC5"/>
    <w:rsid w:val="005C42A6"/>
    <w:rsid w:val="005D0E32"/>
    <w:rsid w:val="005F412C"/>
    <w:rsid w:val="005F5640"/>
    <w:rsid w:val="00603591"/>
    <w:rsid w:val="006051E9"/>
    <w:rsid w:val="00642C5D"/>
    <w:rsid w:val="00643633"/>
    <w:rsid w:val="00652BB8"/>
    <w:rsid w:val="006544DA"/>
    <w:rsid w:val="00662206"/>
    <w:rsid w:val="00671198"/>
    <w:rsid w:val="006A24F0"/>
    <w:rsid w:val="006B5D98"/>
    <w:rsid w:val="006C0674"/>
    <w:rsid w:val="006E28C3"/>
    <w:rsid w:val="00724F0E"/>
    <w:rsid w:val="00752E51"/>
    <w:rsid w:val="00772425"/>
    <w:rsid w:val="007A5443"/>
    <w:rsid w:val="007B4479"/>
    <w:rsid w:val="007B6D3E"/>
    <w:rsid w:val="007F39C3"/>
    <w:rsid w:val="007F7625"/>
    <w:rsid w:val="00803766"/>
    <w:rsid w:val="008131DB"/>
    <w:rsid w:val="00841B56"/>
    <w:rsid w:val="008442A8"/>
    <w:rsid w:val="00851081"/>
    <w:rsid w:val="00854C5A"/>
    <w:rsid w:val="0086034B"/>
    <w:rsid w:val="00867157"/>
    <w:rsid w:val="0087124E"/>
    <w:rsid w:val="00875AFB"/>
    <w:rsid w:val="008761D8"/>
    <w:rsid w:val="008801E5"/>
    <w:rsid w:val="00887402"/>
    <w:rsid w:val="00895337"/>
    <w:rsid w:val="008A692A"/>
    <w:rsid w:val="008C589F"/>
    <w:rsid w:val="0091617B"/>
    <w:rsid w:val="00930ABE"/>
    <w:rsid w:val="009441E6"/>
    <w:rsid w:val="0096011D"/>
    <w:rsid w:val="00966F63"/>
    <w:rsid w:val="00976351"/>
    <w:rsid w:val="009A0146"/>
    <w:rsid w:val="009A55A3"/>
    <w:rsid w:val="009A72F7"/>
    <w:rsid w:val="009B0BE2"/>
    <w:rsid w:val="009E06EB"/>
    <w:rsid w:val="009E109A"/>
    <w:rsid w:val="009F1C62"/>
    <w:rsid w:val="00A12B0B"/>
    <w:rsid w:val="00A268C8"/>
    <w:rsid w:val="00A33630"/>
    <w:rsid w:val="00A35D98"/>
    <w:rsid w:val="00A36AB4"/>
    <w:rsid w:val="00A41CD0"/>
    <w:rsid w:val="00A4398D"/>
    <w:rsid w:val="00A45F6D"/>
    <w:rsid w:val="00A473A5"/>
    <w:rsid w:val="00A52F30"/>
    <w:rsid w:val="00A53C08"/>
    <w:rsid w:val="00A611D8"/>
    <w:rsid w:val="00A67846"/>
    <w:rsid w:val="00A75E4F"/>
    <w:rsid w:val="00A77777"/>
    <w:rsid w:val="00A80E35"/>
    <w:rsid w:val="00A90927"/>
    <w:rsid w:val="00AA30EE"/>
    <w:rsid w:val="00AA3924"/>
    <w:rsid w:val="00AA4B30"/>
    <w:rsid w:val="00AA71B0"/>
    <w:rsid w:val="00AB20B2"/>
    <w:rsid w:val="00AB4BBA"/>
    <w:rsid w:val="00AB6FF7"/>
    <w:rsid w:val="00AC0A52"/>
    <w:rsid w:val="00AC6050"/>
    <w:rsid w:val="00AD4B05"/>
    <w:rsid w:val="00AE27D6"/>
    <w:rsid w:val="00AE759B"/>
    <w:rsid w:val="00B00E6B"/>
    <w:rsid w:val="00B075ED"/>
    <w:rsid w:val="00B109E1"/>
    <w:rsid w:val="00B11425"/>
    <w:rsid w:val="00B14620"/>
    <w:rsid w:val="00B22A02"/>
    <w:rsid w:val="00B26EC3"/>
    <w:rsid w:val="00B60BC0"/>
    <w:rsid w:val="00B70AC4"/>
    <w:rsid w:val="00B76828"/>
    <w:rsid w:val="00B827E6"/>
    <w:rsid w:val="00B947E7"/>
    <w:rsid w:val="00B94FA0"/>
    <w:rsid w:val="00BA2363"/>
    <w:rsid w:val="00BC4E72"/>
    <w:rsid w:val="00BD3509"/>
    <w:rsid w:val="00BE58FF"/>
    <w:rsid w:val="00BF414D"/>
    <w:rsid w:val="00C17359"/>
    <w:rsid w:val="00C22A28"/>
    <w:rsid w:val="00C35DE4"/>
    <w:rsid w:val="00C455FF"/>
    <w:rsid w:val="00C50781"/>
    <w:rsid w:val="00C51644"/>
    <w:rsid w:val="00C62B9A"/>
    <w:rsid w:val="00C66DF9"/>
    <w:rsid w:val="00C751F4"/>
    <w:rsid w:val="00C93442"/>
    <w:rsid w:val="00CA271B"/>
    <w:rsid w:val="00CB738C"/>
    <w:rsid w:val="00CC04F4"/>
    <w:rsid w:val="00CC46F1"/>
    <w:rsid w:val="00CC67F2"/>
    <w:rsid w:val="00CD13D4"/>
    <w:rsid w:val="00CD1656"/>
    <w:rsid w:val="00CD37A1"/>
    <w:rsid w:val="00D01AF4"/>
    <w:rsid w:val="00D07A01"/>
    <w:rsid w:val="00D115E4"/>
    <w:rsid w:val="00D16769"/>
    <w:rsid w:val="00D24F3E"/>
    <w:rsid w:val="00D277E8"/>
    <w:rsid w:val="00D45948"/>
    <w:rsid w:val="00D54455"/>
    <w:rsid w:val="00D5615A"/>
    <w:rsid w:val="00D6249E"/>
    <w:rsid w:val="00D62832"/>
    <w:rsid w:val="00D71C53"/>
    <w:rsid w:val="00D72A89"/>
    <w:rsid w:val="00D8115E"/>
    <w:rsid w:val="00DB0CA5"/>
    <w:rsid w:val="00DB1DE4"/>
    <w:rsid w:val="00DB79C5"/>
    <w:rsid w:val="00DC1D70"/>
    <w:rsid w:val="00DC294F"/>
    <w:rsid w:val="00DC3A20"/>
    <w:rsid w:val="00DC7D22"/>
    <w:rsid w:val="00DE7906"/>
    <w:rsid w:val="00E07D1F"/>
    <w:rsid w:val="00E102B2"/>
    <w:rsid w:val="00E164DB"/>
    <w:rsid w:val="00E320FE"/>
    <w:rsid w:val="00E36B26"/>
    <w:rsid w:val="00E4752D"/>
    <w:rsid w:val="00E57948"/>
    <w:rsid w:val="00E63051"/>
    <w:rsid w:val="00E914FB"/>
    <w:rsid w:val="00EC0BAB"/>
    <w:rsid w:val="00EC7188"/>
    <w:rsid w:val="00ED40F3"/>
    <w:rsid w:val="00ED7BE4"/>
    <w:rsid w:val="00EE27FF"/>
    <w:rsid w:val="00EE5693"/>
    <w:rsid w:val="00EE5766"/>
    <w:rsid w:val="00EF4B0A"/>
    <w:rsid w:val="00F225FE"/>
    <w:rsid w:val="00F35C92"/>
    <w:rsid w:val="00F43C23"/>
    <w:rsid w:val="00F46599"/>
    <w:rsid w:val="00F55CAF"/>
    <w:rsid w:val="00F60B19"/>
    <w:rsid w:val="00F62E12"/>
    <w:rsid w:val="00F6632D"/>
    <w:rsid w:val="00F83DE0"/>
    <w:rsid w:val="00F83EA1"/>
    <w:rsid w:val="00F844E5"/>
    <w:rsid w:val="00F845A4"/>
    <w:rsid w:val="00FA0C3C"/>
    <w:rsid w:val="00FA358C"/>
    <w:rsid w:val="00FA745D"/>
    <w:rsid w:val="00FD3BF4"/>
    <w:rsid w:val="00FE7ABA"/>
    <w:rsid w:val="00FF0CF6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26FA3"/>
  <w15:chartTrackingRefBased/>
  <w15:docId w15:val="{72363C9F-C2D6-4792-90D8-6B3C7E5D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25F"/>
  </w:style>
  <w:style w:type="paragraph" w:styleId="Heading1">
    <w:name w:val="heading 1"/>
    <w:basedOn w:val="Normal"/>
    <w:next w:val="Normal"/>
    <w:link w:val="Heading1Char"/>
    <w:uiPriority w:val="9"/>
    <w:qFormat/>
    <w:rsid w:val="004162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2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2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2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2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2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2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25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25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2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2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2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2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2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2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162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25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2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25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1625F"/>
    <w:rPr>
      <w:b/>
      <w:bCs/>
    </w:rPr>
  </w:style>
  <w:style w:type="character" w:styleId="Emphasis">
    <w:name w:val="Emphasis"/>
    <w:basedOn w:val="DefaultParagraphFont"/>
    <w:uiPriority w:val="20"/>
    <w:qFormat/>
    <w:rsid w:val="0041625F"/>
    <w:rPr>
      <w:i/>
      <w:iCs/>
    </w:rPr>
  </w:style>
  <w:style w:type="paragraph" w:styleId="NoSpacing">
    <w:name w:val="No Spacing"/>
    <w:uiPriority w:val="1"/>
    <w:qFormat/>
    <w:rsid w:val="004162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62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25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2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2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62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62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62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25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625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2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2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2A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7794">
          <w:marLeft w:val="5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219">
          <w:marLeft w:val="5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117">
          <w:marLeft w:val="5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download/details.aspx?id=5334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visualstudio.microsoft.com/downloads/?utm_medium=microsoft&amp;utm_source=docs.microsoft.com&amp;utm_campaign=button+cta&amp;utm_content=download+vs2017" TargetMode="External"/><Relationship Id="rId19" Type="http://schemas.openxmlformats.org/officeDocument/2006/relationships/hyperlink" Target="https://docs.microsoft.com/en-us/previous-versions/aspnet/hh834194(v%3Dvs.118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DevartSoftware.DevartT4EditorforVisualStudi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D78B-B1EE-427F-8989-20C6D618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Mahasamudram (iSoftStone Inc)</dc:creator>
  <cp:keywords/>
  <dc:description/>
  <cp:lastModifiedBy>Taylor Love (iSoftStone Inc)</cp:lastModifiedBy>
  <cp:revision>519</cp:revision>
  <cp:lastPrinted>2018-10-01T23:36:00Z</cp:lastPrinted>
  <dcterms:created xsi:type="dcterms:W3CDTF">2018-10-01T15:44:00Z</dcterms:created>
  <dcterms:modified xsi:type="dcterms:W3CDTF">2019-03-08T20:36:00Z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v-sujmah@microsoft.com</vt:lpwstr>
  </property>
  <property fmtid="{D5CDD505-2E9C-101B-9397-08002B2CF9AE}" pid="5" name="MSIP_Label_f42aa342-8706-4288-bd11-ebb85995028c_SetDate">
    <vt:lpwstr>2018-10-01T15:44:37.0203829Z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