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293E4" w14:textId="77777777" w:rsidR="006341D9" w:rsidRPr="00E1536A" w:rsidRDefault="00E1536A">
      <w:pPr>
        <w:rPr>
          <w:rFonts w:ascii="Arial" w:hAnsi="Arial" w:cs="Arial"/>
          <w:b/>
          <w:bCs/>
          <w:sz w:val="28"/>
          <w:szCs w:val="28"/>
        </w:rPr>
      </w:pPr>
      <w:r w:rsidRPr="00E1536A">
        <w:rPr>
          <w:rFonts w:ascii="Arial" w:hAnsi="Arial" w:cs="Arial"/>
          <w:b/>
          <w:bCs/>
          <w:sz w:val="28"/>
          <w:szCs w:val="28"/>
        </w:rPr>
        <w:t xml:space="preserve">Análisis de requisitos </w:t>
      </w:r>
    </w:p>
    <w:p w14:paraId="68205AA8" w14:textId="77777777" w:rsidR="00E1536A" w:rsidRPr="00E1536A" w:rsidRDefault="00E1536A">
      <w:pPr>
        <w:rPr>
          <w:rFonts w:ascii="Arial" w:hAnsi="Arial" w:cs="Arial"/>
          <w:b/>
          <w:bCs/>
          <w:sz w:val="24"/>
          <w:szCs w:val="24"/>
        </w:rPr>
      </w:pPr>
      <w:r w:rsidRPr="00E1536A">
        <w:rPr>
          <w:rFonts w:ascii="Arial" w:hAnsi="Arial" w:cs="Arial"/>
          <w:b/>
          <w:bCs/>
          <w:sz w:val="24"/>
          <w:szCs w:val="24"/>
        </w:rPr>
        <w:t>Investigación Bibliográfica</w:t>
      </w:r>
    </w:p>
    <w:p w14:paraId="3C42CE27" w14:textId="77777777" w:rsidR="00E1536A" w:rsidRPr="00E1536A" w:rsidRDefault="00E1536A">
      <w:pPr>
        <w:rPr>
          <w:rFonts w:ascii="Arial" w:hAnsi="Arial" w:cs="Arial"/>
          <w:b/>
          <w:bCs/>
          <w:sz w:val="24"/>
          <w:szCs w:val="24"/>
        </w:rPr>
      </w:pPr>
      <w:r w:rsidRPr="00E1536A">
        <w:rPr>
          <w:rFonts w:ascii="Arial" w:hAnsi="Arial" w:cs="Arial"/>
          <w:b/>
          <w:bCs/>
          <w:sz w:val="24"/>
          <w:szCs w:val="24"/>
        </w:rPr>
        <w:t xml:space="preserve">Tests e inventarios de depresión </w:t>
      </w:r>
    </w:p>
    <w:p w14:paraId="69EB6FF4" w14:textId="77777777" w:rsidR="00E1536A" w:rsidRDefault="00E1536A" w:rsidP="00E1536A">
      <w:pPr>
        <w:pStyle w:val="ListParagraph"/>
        <w:numPr>
          <w:ilvl w:val="0"/>
          <w:numId w:val="1"/>
        </w:numPr>
        <w:rPr>
          <w:rFonts w:ascii="Arial" w:hAnsi="Arial" w:cs="Arial"/>
          <w:b/>
          <w:bCs/>
          <w:sz w:val="24"/>
          <w:szCs w:val="24"/>
        </w:rPr>
      </w:pPr>
      <w:r w:rsidRPr="00E1536A">
        <w:rPr>
          <w:rFonts w:ascii="Arial" w:hAnsi="Arial" w:cs="Arial"/>
          <w:b/>
          <w:bCs/>
          <w:sz w:val="24"/>
          <w:szCs w:val="24"/>
        </w:rPr>
        <w:t>Inventario de depresión de Beck</w:t>
      </w:r>
    </w:p>
    <w:p w14:paraId="0832CFEA" w14:textId="17AA302F" w:rsidR="00550076" w:rsidRDefault="00550076" w:rsidP="00550076">
      <w:pPr>
        <w:jc w:val="both"/>
        <w:rPr>
          <w:rFonts w:ascii="Arial" w:hAnsi="Arial" w:cs="Arial"/>
          <w:color w:val="000000"/>
          <w:sz w:val="24"/>
          <w:szCs w:val="24"/>
          <w:shd w:val="clear" w:color="auto" w:fill="FFFFFF"/>
        </w:rPr>
      </w:pPr>
      <w:r w:rsidRPr="00550076">
        <w:rPr>
          <w:rFonts w:ascii="Arial" w:hAnsi="Arial" w:cs="Arial"/>
          <w:color w:val="000000"/>
          <w:sz w:val="24"/>
          <w:szCs w:val="24"/>
          <w:shd w:val="clear" w:color="auto" w:fill="FFFFFF"/>
        </w:rPr>
        <w:t xml:space="preserve">De acuerdo con Beck </w:t>
      </w:r>
      <w:sdt>
        <w:sdtPr>
          <w:rPr>
            <w:rFonts w:ascii="Arial" w:hAnsi="Arial" w:cs="Arial"/>
            <w:color w:val="000000"/>
            <w:sz w:val="24"/>
            <w:szCs w:val="24"/>
            <w:shd w:val="clear" w:color="auto" w:fill="FFFFFF"/>
          </w:rPr>
          <w:id w:val="-1690593857"/>
          <w:citation/>
        </w:sdtPr>
        <w:sdtEndPr/>
        <w:sdtContent>
          <w:r>
            <w:rPr>
              <w:rFonts w:ascii="Arial" w:hAnsi="Arial" w:cs="Arial"/>
              <w:color w:val="000000"/>
              <w:sz w:val="24"/>
              <w:szCs w:val="24"/>
              <w:shd w:val="clear" w:color="auto" w:fill="FFFFFF"/>
            </w:rPr>
            <w:fldChar w:fldCharType="begin"/>
          </w:r>
          <w:r>
            <w:rPr>
              <w:rFonts w:ascii="Arial" w:hAnsi="Arial" w:cs="Arial"/>
              <w:color w:val="000000"/>
              <w:sz w:val="24"/>
              <w:szCs w:val="24"/>
              <w:shd w:val="clear" w:color="auto" w:fill="FFFFFF"/>
            </w:rPr>
            <w:instrText xml:space="preserve"> CITATION Bec67 \l 3082 </w:instrText>
          </w:r>
          <w:r>
            <w:rPr>
              <w:rFonts w:ascii="Arial" w:hAnsi="Arial" w:cs="Arial"/>
              <w:color w:val="000000"/>
              <w:sz w:val="24"/>
              <w:szCs w:val="24"/>
              <w:shd w:val="clear" w:color="auto" w:fill="FFFFFF"/>
            </w:rPr>
            <w:fldChar w:fldCharType="separate"/>
          </w:r>
          <w:r w:rsidR="00591BD6" w:rsidRPr="00591BD6">
            <w:rPr>
              <w:rFonts w:ascii="Arial" w:hAnsi="Arial" w:cs="Arial"/>
              <w:noProof/>
              <w:color w:val="000000"/>
              <w:sz w:val="24"/>
              <w:szCs w:val="24"/>
              <w:shd w:val="clear" w:color="auto" w:fill="FFFFFF"/>
            </w:rPr>
            <w:t>(Diagnóstico y tratamiento de la depresión., 1967)</w:t>
          </w:r>
          <w:r>
            <w:rPr>
              <w:rFonts w:ascii="Arial" w:hAnsi="Arial" w:cs="Arial"/>
              <w:color w:val="000000"/>
              <w:sz w:val="24"/>
              <w:szCs w:val="24"/>
              <w:shd w:val="clear" w:color="auto" w:fill="FFFFFF"/>
            </w:rPr>
            <w:fldChar w:fldCharType="end"/>
          </w:r>
        </w:sdtContent>
      </w:sdt>
      <w:r>
        <w:rPr>
          <w:rFonts w:ascii="Arial" w:hAnsi="Arial" w:cs="Arial"/>
          <w:color w:val="000000"/>
          <w:sz w:val="24"/>
          <w:szCs w:val="24"/>
          <w:shd w:val="clear" w:color="auto" w:fill="FFFFFF"/>
        </w:rPr>
        <w:t xml:space="preserve"> </w:t>
      </w:r>
      <w:r w:rsidRPr="00550076">
        <w:rPr>
          <w:rFonts w:ascii="Arial" w:hAnsi="Arial" w:cs="Arial"/>
          <w:color w:val="000000"/>
          <w:sz w:val="24"/>
          <w:szCs w:val="24"/>
          <w:shd w:val="clear" w:color="auto" w:fill="FFFFFF"/>
        </w:rPr>
        <w:t>la depresión se caracteriza por tristeza, apatía, concepto negativo de sí mismo, autorreproches, culpa, conductas de evitación, síntomas somáticos y cambios en el nivel de actividad física. Los síntomas se originan a partir de esquemas cognitivos desadaptados sobre sí mismo, el mundo y el futuro, los cuales son rígidos y absolutistas. La prevalencia de estos esquemas interfiere con el procesamiento de la información positiva y produce pensamientos automáticos negativos y sesgados que traen como desenlace problemas emocionales. Así, se entiende que el estado emocional de un individuo depende de las creencias que tiene sobre sus experiencias de vida</w:t>
      </w:r>
      <w:sdt>
        <w:sdtPr>
          <w:rPr>
            <w:rFonts w:ascii="Arial" w:hAnsi="Arial" w:cs="Arial"/>
            <w:color w:val="000000"/>
            <w:sz w:val="24"/>
            <w:szCs w:val="24"/>
            <w:shd w:val="clear" w:color="auto" w:fill="FFFFFF"/>
          </w:rPr>
          <w:id w:val="1032393919"/>
          <w:citation/>
        </w:sdtPr>
        <w:sdtEndPr/>
        <w:sdtContent>
          <w:r>
            <w:rPr>
              <w:rFonts w:ascii="Arial" w:hAnsi="Arial" w:cs="Arial"/>
              <w:color w:val="000000"/>
              <w:sz w:val="24"/>
              <w:szCs w:val="24"/>
              <w:shd w:val="clear" w:color="auto" w:fill="FFFFFF"/>
            </w:rPr>
            <w:fldChar w:fldCharType="begin"/>
          </w:r>
          <w:r>
            <w:rPr>
              <w:rFonts w:ascii="Arial" w:hAnsi="Arial" w:cs="Arial"/>
              <w:color w:val="000000"/>
              <w:sz w:val="24"/>
              <w:szCs w:val="24"/>
              <w:shd w:val="clear" w:color="auto" w:fill="FFFFFF"/>
            </w:rPr>
            <w:instrText xml:space="preserve"> CITATION Bec79 \l 3082 </w:instrText>
          </w:r>
          <w:r>
            <w:rPr>
              <w:rFonts w:ascii="Arial" w:hAnsi="Arial" w:cs="Arial"/>
              <w:color w:val="000000"/>
              <w:sz w:val="24"/>
              <w:szCs w:val="24"/>
              <w:shd w:val="clear" w:color="auto" w:fill="FFFFFF"/>
            </w:rPr>
            <w:fldChar w:fldCharType="separate"/>
          </w:r>
          <w:r w:rsidR="00591BD6">
            <w:rPr>
              <w:rFonts w:ascii="Arial" w:hAnsi="Arial" w:cs="Arial"/>
              <w:noProof/>
              <w:color w:val="000000"/>
              <w:sz w:val="24"/>
              <w:szCs w:val="24"/>
              <w:shd w:val="clear" w:color="auto" w:fill="FFFFFF"/>
            </w:rPr>
            <w:t xml:space="preserve"> </w:t>
          </w:r>
          <w:r w:rsidR="00591BD6" w:rsidRPr="00591BD6">
            <w:rPr>
              <w:rFonts w:ascii="Arial" w:hAnsi="Arial" w:cs="Arial"/>
              <w:noProof/>
              <w:color w:val="000000"/>
              <w:sz w:val="24"/>
              <w:szCs w:val="24"/>
              <w:shd w:val="clear" w:color="auto" w:fill="FFFFFF"/>
            </w:rPr>
            <w:t>(Cognitive therapy for depression, 1979)</w:t>
          </w:r>
          <w:r>
            <w:rPr>
              <w:rFonts w:ascii="Arial" w:hAnsi="Arial" w:cs="Arial"/>
              <w:color w:val="000000"/>
              <w:sz w:val="24"/>
              <w:szCs w:val="24"/>
              <w:shd w:val="clear" w:color="auto" w:fill="FFFFFF"/>
            </w:rPr>
            <w:fldChar w:fldCharType="end"/>
          </w:r>
        </w:sdtContent>
      </w:sdt>
      <w:r>
        <w:rPr>
          <w:rFonts w:ascii="Arial" w:hAnsi="Arial" w:cs="Arial"/>
          <w:color w:val="000000"/>
          <w:sz w:val="24"/>
          <w:szCs w:val="24"/>
          <w:shd w:val="clear" w:color="auto" w:fill="FFFFFF"/>
        </w:rPr>
        <w:t>.</w:t>
      </w:r>
    </w:p>
    <w:p w14:paraId="378137EA" w14:textId="415B26B1" w:rsidR="003851EC" w:rsidRPr="003851EC" w:rsidRDefault="003851EC" w:rsidP="00550076">
      <w:pPr>
        <w:jc w:val="both"/>
        <w:rPr>
          <w:rFonts w:ascii="Arial" w:hAnsi="Arial" w:cs="Arial"/>
          <w:sz w:val="28"/>
          <w:szCs w:val="28"/>
        </w:rPr>
      </w:pPr>
      <w:r>
        <w:rPr>
          <w:rFonts w:ascii="Arial" w:hAnsi="Arial" w:cs="Arial"/>
          <w:color w:val="000000"/>
          <w:sz w:val="24"/>
          <w:szCs w:val="24"/>
          <w:shd w:val="clear" w:color="auto" w:fill="FFFFFF"/>
        </w:rPr>
        <w:t xml:space="preserve">La primera versión del BDI </w:t>
      </w:r>
      <w:sdt>
        <w:sdtPr>
          <w:rPr>
            <w:rFonts w:ascii="Arial" w:hAnsi="Arial" w:cs="Arial"/>
            <w:color w:val="000000"/>
            <w:sz w:val="24"/>
            <w:szCs w:val="24"/>
            <w:shd w:val="clear" w:color="auto" w:fill="FFFFFF"/>
          </w:rPr>
          <w:id w:val="-296450608"/>
          <w:citation/>
        </w:sdtPr>
        <w:sdtContent>
          <w:r>
            <w:rPr>
              <w:rFonts w:ascii="Arial" w:hAnsi="Arial" w:cs="Arial"/>
              <w:color w:val="000000"/>
              <w:sz w:val="24"/>
              <w:szCs w:val="24"/>
              <w:shd w:val="clear" w:color="auto" w:fill="FFFFFF"/>
            </w:rPr>
            <w:fldChar w:fldCharType="begin"/>
          </w:r>
          <w:r>
            <w:rPr>
              <w:rFonts w:ascii="Arial" w:hAnsi="Arial" w:cs="Arial"/>
              <w:color w:val="000000"/>
              <w:sz w:val="24"/>
              <w:szCs w:val="24"/>
              <w:shd w:val="clear" w:color="auto" w:fill="FFFFFF"/>
              <w:lang w:val="es-MX"/>
            </w:rPr>
            <w:instrText xml:space="preserve"> CITATION Bec09 \l 2058 </w:instrText>
          </w:r>
          <w:r>
            <w:rPr>
              <w:rFonts w:ascii="Arial" w:hAnsi="Arial" w:cs="Arial"/>
              <w:color w:val="000000"/>
              <w:sz w:val="24"/>
              <w:szCs w:val="24"/>
              <w:shd w:val="clear" w:color="auto" w:fill="FFFFFF"/>
            </w:rPr>
            <w:fldChar w:fldCharType="separate"/>
          </w:r>
          <w:r w:rsidR="00591BD6" w:rsidRPr="00591BD6">
            <w:rPr>
              <w:rFonts w:ascii="Arial" w:hAnsi="Arial" w:cs="Arial"/>
              <w:noProof/>
              <w:color w:val="000000"/>
              <w:sz w:val="24"/>
              <w:szCs w:val="24"/>
              <w:shd w:val="clear" w:color="auto" w:fill="FFFFFF"/>
              <w:lang w:val="es-MX"/>
            </w:rPr>
            <w:t>(Beck, Steer, &amp; Brown, 2009)</w:t>
          </w:r>
          <w:r>
            <w:rPr>
              <w:rFonts w:ascii="Arial" w:hAnsi="Arial" w:cs="Arial"/>
              <w:color w:val="000000"/>
              <w:sz w:val="24"/>
              <w:szCs w:val="24"/>
              <w:shd w:val="clear" w:color="auto" w:fill="FFFFFF"/>
            </w:rPr>
            <w:fldChar w:fldCharType="end"/>
          </w:r>
        </w:sdtContent>
      </w:sdt>
      <w:r>
        <w:rPr>
          <w:rFonts w:ascii="Arial" w:hAnsi="Arial" w:cs="Arial"/>
          <w:color w:val="000000"/>
          <w:sz w:val="24"/>
          <w:szCs w:val="24"/>
          <w:shd w:val="clear" w:color="auto" w:fill="FFFFFF"/>
        </w:rPr>
        <w:t xml:space="preserve"> se realizó sobre la base del análisis de los contenidos más frecuentes en las sesiones terapéuticas con pacientes deprimidos. Lo conformaban 21 ítems que se presentaban en tres pases de formulación gradual y que referían a criterios diagnósticos básicos de la depresión (humos, pesimismo, culpa, etc.). Luego de una revisión realizada en 1987 (BDI-A), en 1994 se inició el estudio piloto para el </w:t>
      </w:r>
      <w:r w:rsidR="000B606D">
        <w:rPr>
          <w:rFonts w:ascii="Arial" w:hAnsi="Arial" w:cs="Arial"/>
          <w:color w:val="000000"/>
          <w:sz w:val="24"/>
          <w:szCs w:val="24"/>
          <w:shd w:val="clear" w:color="auto" w:fill="FFFFFF"/>
        </w:rPr>
        <w:t>diseñó</w:t>
      </w:r>
      <w:r>
        <w:rPr>
          <w:rFonts w:ascii="Arial" w:hAnsi="Arial" w:cs="Arial"/>
          <w:color w:val="000000"/>
          <w:sz w:val="24"/>
          <w:szCs w:val="24"/>
          <w:shd w:val="clear" w:color="auto" w:fill="FFFFFF"/>
        </w:rPr>
        <w:t xml:space="preserve"> del Inventario de Depresión de Beck-II (BDI-II), cuyo objetivo principal fue adecuar el contenido de los ítems a los criterios diagnósticos para la depresión considerados por el </w:t>
      </w:r>
      <w:r>
        <w:rPr>
          <w:rFonts w:ascii="Arial" w:hAnsi="Arial" w:cs="Arial"/>
          <w:i/>
          <w:iCs/>
          <w:color w:val="000000"/>
          <w:sz w:val="24"/>
          <w:szCs w:val="24"/>
          <w:shd w:val="clear" w:color="auto" w:fill="FFFFFF"/>
        </w:rPr>
        <w:t>Manual Diagnóstico y Estadístico de los Trastornos Mentales IV (DSM-IV)</w:t>
      </w:r>
      <w:r>
        <w:rPr>
          <w:rFonts w:ascii="Arial" w:hAnsi="Arial" w:cs="Arial"/>
          <w:color w:val="000000"/>
          <w:sz w:val="24"/>
          <w:szCs w:val="24"/>
          <w:shd w:val="clear" w:color="auto" w:fill="FFFFFF"/>
        </w:rPr>
        <w:t>.</w:t>
      </w:r>
    </w:p>
    <w:p w14:paraId="4F7DB672" w14:textId="0815D421" w:rsidR="000B606D" w:rsidRDefault="00E1536A" w:rsidP="00E1536A">
      <w:pPr>
        <w:jc w:val="both"/>
        <w:rPr>
          <w:rFonts w:ascii="Arial" w:hAnsi="Arial" w:cs="Arial"/>
          <w:sz w:val="24"/>
          <w:szCs w:val="24"/>
        </w:rPr>
      </w:pPr>
      <w:r w:rsidRPr="00E1536A">
        <w:rPr>
          <w:rFonts w:ascii="Arial" w:hAnsi="Arial" w:cs="Arial"/>
          <w:sz w:val="24"/>
          <w:szCs w:val="24"/>
        </w:rPr>
        <w:t xml:space="preserve">El Inventario de Depresión de Beck-II </w:t>
      </w:r>
      <w:r>
        <w:rPr>
          <w:rFonts w:ascii="Arial" w:hAnsi="Arial" w:cs="Arial"/>
          <w:sz w:val="24"/>
          <w:szCs w:val="24"/>
        </w:rPr>
        <w:t xml:space="preserve">o </w:t>
      </w:r>
      <w:r w:rsidRPr="00E1536A">
        <w:rPr>
          <w:rFonts w:ascii="Arial" w:hAnsi="Arial" w:cs="Arial"/>
          <w:sz w:val="24"/>
          <w:szCs w:val="24"/>
        </w:rPr>
        <w:t>BDI-II es un autoinforme de lápiz y papel compuesto por</w:t>
      </w:r>
      <w:r w:rsidR="003851EC">
        <w:rPr>
          <w:rFonts w:ascii="Arial" w:hAnsi="Arial" w:cs="Arial"/>
          <w:sz w:val="24"/>
          <w:szCs w:val="24"/>
        </w:rPr>
        <w:t xml:space="preserve"> los</w:t>
      </w:r>
      <w:r w:rsidRPr="00E1536A">
        <w:rPr>
          <w:rFonts w:ascii="Arial" w:hAnsi="Arial" w:cs="Arial"/>
          <w:sz w:val="24"/>
          <w:szCs w:val="24"/>
        </w:rPr>
        <w:t xml:space="preserve"> 21 ítems</w:t>
      </w:r>
      <w:r w:rsidR="003851EC">
        <w:rPr>
          <w:rFonts w:ascii="Arial" w:hAnsi="Arial" w:cs="Arial"/>
          <w:sz w:val="24"/>
          <w:szCs w:val="24"/>
        </w:rPr>
        <w:t xml:space="preserve"> mencionados anteriormente</w:t>
      </w:r>
      <w:r w:rsidRPr="00E1536A">
        <w:rPr>
          <w:rFonts w:ascii="Arial" w:hAnsi="Arial" w:cs="Arial"/>
          <w:sz w:val="24"/>
          <w:szCs w:val="24"/>
        </w:rPr>
        <w:t xml:space="preserve"> de tipo Likert. </w:t>
      </w:r>
      <w:r>
        <w:rPr>
          <w:rFonts w:ascii="Arial" w:hAnsi="Arial" w:cs="Arial"/>
          <w:sz w:val="24"/>
          <w:szCs w:val="24"/>
        </w:rPr>
        <w:t>Fue</w:t>
      </w:r>
      <w:r w:rsidRPr="00E1536A">
        <w:rPr>
          <w:rFonts w:ascii="Arial" w:hAnsi="Arial" w:cs="Arial"/>
          <w:sz w:val="24"/>
          <w:szCs w:val="24"/>
        </w:rPr>
        <w:t xml:space="preserve"> inicialmente propuesto por Beck y sus versiones posteriores han sido los instrumentos más utilizados para detectar y evaluar la gravedad de la depresión. </w:t>
      </w:r>
      <w:r>
        <w:rPr>
          <w:rFonts w:ascii="Arial" w:hAnsi="Arial" w:cs="Arial"/>
          <w:sz w:val="24"/>
          <w:szCs w:val="24"/>
        </w:rPr>
        <w:t>Según Muñíz y Fernández,</w:t>
      </w:r>
      <w:r w:rsidRPr="00E1536A">
        <w:rPr>
          <w:rFonts w:ascii="Arial" w:hAnsi="Arial" w:cs="Arial"/>
          <w:sz w:val="24"/>
          <w:szCs w:val="24"/>
        </w:rPr>
        <w:t xml:space="preserve"> es el quinto test más utilizado por los psicólogos españoles</w:t>
      </w:r>
      <w:sdt>
        <w:sdtPr>
          <w:rPr>
            <w:rFonts w:ascii="Arial" w:hAnsi="Arial" w:cs="Arial"/>
            <w:sz w:val="24"/>
            <w:szCs w:val="24"/>
          </w:rPr>
          <w:id w:val="-801919201"/>
          <w:citation/>
        </w:sdtPr>
        <w:sdtEndPr/>
        <w:sdtContent>
          <w:r w:rsidR="006867BD">
            <w:rPr>
              <w:rFonts w:ascii="Arial" w:hAnsi="Arial" w:cs="Arial"/>
              <w:sz w:val="24"/>
              <w:szCs w:val="24"/>
            </w:rPr>
            <w:fldChar w:fldCharType="begin"/>
          </w:r>
          <w:r w:rsidR="006867BD">
            <w:rPr>
              <w:rFonts w:ascii="Arial" w:hAnsi="Arial" w:cs="Arial"/>
              <w:sz w:val="24"/>
              <w:szCs w:val="24"/>
            </w:rPr>
            <w:instrText xml:space="preserve"> CITATION Muñ10 \l 3082 </w:instrText>
          </w:r>
          <w:r w:rsidR="006867BD">
            <w:rPr>
              <w:rFonts w:ascii="Arial" w:hAnsi="Arial" w:cs="Arial"/>
              <w:sz w:val="24"/>
              <w:szCs w:val="24"/>
            </w:rPr>
            <w:fldChar w:fldCharType="separate"/>
          </w:r>
          <w:r w:rsidR="00591BD6">
            <w:rPr>
              <w:rFonts w:ascii="Arial" w:hAnsi="Arial" w:cs="Arial"/>
              <w:noProof/>
              <w:sz w:val="24"/>
              <w:szCs w:val="24"/>
            </w:rPr>
            <w:t xml:space="preserve"> </w:t>
          </w:r>
          <w:r w:rsidR="00591BD6" w:rsidRPr="00591BD6">
            <w:rPr>
              <w:rFonts w:ascii="Arial" w:hAnsi="Arial" w:cs="Arial"/>
              <w:noProof/>
              <w:sz w:val="24"/>
              <w:szCs w:val="24"/>
            </w:rPr>
            <w:t>(La opinión de los psicólogos españoles sobre el uso de los test., 2010)</w:t>
          </w:r>
          <w:r w:rsidR="006867BD">
            <w:rPr>
              <w:rFonts w:ascii="Arial" w:hAnsi="Arial" w:cs="Arial"/>
              <w:sz w:val="24"/>
              <w:szCs w:val="24"/>
            </w:rPr>
            <w:fldChar w:fldCharType="end"/>
          </w:r>
        </w:sdtContent>
      </w:sdt>
      <w:r w:rsidRPr="00E1536A">
        <w:rPr>
          <w:rFonts w:ascii="Arial" w:hAnsi="Arial" w:cs="Arial"/>
          <w:sz w:val="24"/>
          <w:szCs w:val="24"/>
        </w:rPr>
        <w:t xml:space="preserve">. Sus ítems no se derivan de ninguna teoría concreta acerca del constructo medido, sino que describen los síntomas clínicos más frecuentes de los pacientes psiquiátricos con depresión. El BDI-II ha experimentado algunas modificaciones respecto a las versiones anteriores para representar mejor los criterios para el diagnóstico de los trastornos depresivos recogidos en el DSM-IV (Manual diagnóstico y estadístico de los trastornos mentales, cuarta edición, American Psychiatric Association, 1994) y CIE-10 (Clasificación estadística internacional de enfermedades y problemas relacionados con la salud, Organización Mundial de la Salud, 1993). La prueba </w:t>
      </w:r>
      <w:r w:rsidR="00275638">
        <w:rPr>
          <w:rFonts w:ascii="Arial" w:hAnsi="Arial" w:cs="Arial"/>
          <w:sz w:val="24"/>
          <w:szCs w:val="24"/>
        </w:rPr>
        <w:t>es</w:t>
      </w:r>
      <w:r w:rsidRPr="00E1536A">
        <w:rPr>
          <w:rFonts w:ascii="Arial" w:hAnsi="Arial" w:cs="Arial"/>
          <w:sz w:val="24"/>
          <w:szCs w:val="24"/>
        </w:rPr>
        <w:t xml:space="preserve"> destinada</w:t>
      </w:r>
      <w:r w:rsidR="00275638">
        <w:rPr>
          <w:rFonts w:ascii="Arial" w:hAnsi="Arial" w:cs="Arial"/>
          <w:sz w:val="24"/>
          <w:szCs w:val="24"/>
        </w:rPr>
        <w:t xml:space="preserve"> </w:t>
      </w:r>
      <w:r w:rsidRPr="00E1536A">
        <w:rPr>
          <w:rFonts w:ascii="Arial" w:hAnsi="Arial" w:cs="Arial"/>
          <w:sz w:val="24"/>
          <w:szCs w:val="24"/>
        </w:rPr>
        <w:t xml:space="preserve">para un uso clínico, como un </w:t>
      </w:r>
      <w:r w:rsidR="00275638">
        <w:rPr>
          <w:rFonts w:ascii="Arial" w:hAnsi="Arial" w:cs="Arial"/>
          <w:sz w:val="24"/>
          <w:szCs w:val="24"/>
        </w:rPr>
        <w:t>instrumento</w:t>
      </w:r>
      <w:r w:rsidRPr="00E1536A">
        <w:rPr>
          <w:rFonts w:ascii="Arial" w:hAnsi="Arial" w:cs="Arial"/>
          <w:sz w:val="24"/>
          <w:szCs w:val="24"/>
        </w:rPr>
        <w:t xml:space="preserve"> para evaluar la gravedad de la depresión en pacientes adultos y adolescentes con un diagnóstico psiquiátrico y con 13 años o más de edad.</w:t>
      </w:r>
    </w:p>
    <w:p w14:paraId="6C148AAB" w14:textId="77777777" w:rsidR="000B606D" w:rsidRDefault="000B606D" w:rsidP="00E1536A">
      <w:pPr>
        <w:jc w:val="both"/>
        <w:rPr>
          <w:rFonts w:ascii="Arial" w:hAnsi="Arial" w:cs="Arial"/>
          <w:sz w:val="24"/>
          <w:szCs w:val="24"/>
        </w:rPr>
      </w:pPr>
    </w:p>
    <w:p w14:paraId="78FDE28C" w14:textId="24CD1E6A" w:rsidR="00E1536A" w:rsidRDefault="00E1536A" w:rsidP="00E1536A">
      <w:pPr>
        <w:jc w:val="both"/>
        <w:rPr>
          <w:rFonts w:ascii="Arial" w:hAnsi="Arial" w:cs="Arial"/>
          <w:sz w:val="24"/>
          <w:szCs w:val="24"/>
        </w:rPr>
      </w:pPr>
      <w:r w:rsidRPr="00E1536A">
        <w:rPr>
          <w:rFonts w:ascii="Arial" w:hAnsi="Arial" w:cs="Arial"/>
          <w:sz w:val="24"/>
          <w:szCs w:val="24"/>
        </w:rPr>
        <w:lastRenderedPageBreak/>
        <w:t>Entre sus puntos</w:t>
      </w:r>
      <w:r w:rsidR="00275638">
        <w:rPr>
          <w:rFonts w:ascii="Arial" w:hAnsi="Arial" w:cs="Arial"/>
          <w:sz w:val="24"/>
          <w:szCs w:val="24"/>
        </w:rPr>
        <w:t xml:space="preserve"> más</w:t>
      </w:r>
      <w:r w:rsidRPr="00E1536A">
        <w:rPr>
          <w:rFonts w:ascii="Arial" w:hAnsi="Arial" w:cs="Arial"/>
          <w:sz w:val="24"/>
          <w:szCs w:val="24"/>
        </w:rPr>
        <w:t xml:space="preserve"> fuertes destacaríamos los siguientes: </w:t>
      </w:r>
    </w:p>
    <w:p w14:paraId="3EE918E2" w14:textId="77777777" w:rsidR="00E1536A" w:rsidRPr="00E1536A" w:rsidRDefault="00E1536A" w:rsidP="00E1536A">
      <w:pPr>
        <w:pStyle w:val="ListParagraph"/>
        <w:numPr>
          <w:ilvl w:val="0"/>
          <w:numId w:val="2"/>
        </w:numPr>
        <w:jc w:val="both"/>
        <w:rPr>
          <w:rFonts w:ascii="Arial" w:hAnsi="Arial" w:cs="Arial"/>
          <w:sz w:val="24"/>
          <w:szCs w:val="24"/>
        </w:rPr>
      </w:pPr>
      <w:r w:rsidRPr="00E1536A">
        <w:rPr>
          <w:rFonts w:ascii="Arial" w:hAnsi="Arial" w:cs="Arial"/>
          <w:sz w:val="24"/>
          <w:szCs w:val="24"/>
        </w:rPr>
        <w:t xml:space="preserve">Se ha realizado un cuidado proceso de adaptación de la prueba. La traducción se ha llevado a cabo siguiendo en lo sustancial las recomendaciones para la traducción y adaptación de la International Test Commission. </w:t>
      </w:r>
    </w:p>
    <w:p w14:paraId="0F6C720B" w14:textId="77777777" w:rsidR="00E1536A" w:rsidRPr="00E1536A" w:rsidRDefault="00E1536A" w:rsidP="00E1536A">
      <w:pPr>
        <w:pStyle w:val="ListParagraph"/>
        <w:numPr>
          <w:ilvl w:val="0"/>
          <w:numId w:val="2"/>
        </w:numPr>
        <w:jc w:val="both"/>
        <w:rPr>
          <w:rFonts w:ascii="Arial" w:hAnsi="Arial" w:cs="Arial"/>
          <w:sz w:val="24"/>
          <w:szCs w:val="24"/>
        </w:rPr>
      </w:pPr>
      <w:r w:rsidRPr="00E1536A">
        <w:rPr>
          <w:rFonts w:ascii="Arial" w:hAnsi="Arial" w:cs="Arial"/>
          <w:sz w:val="24"/>
          <w:szCs w:val="24"/>
        </w:rPr>
        <w:t>El impreso que contiene las instrucciones y los ítems está muy bien editado y es de fácil comprensión y administración. El completo manual del test incluye los fundamentos de la prueba, los estudios psicométricos y una amplia bibliografía sobre la misma.</w:t>
      </w:r>
    </w:p>
    <w:p w14:paraId="4E5FBE9A" w14:textId="77777777" w:rsidR="00E1536A" w:rsidRPr="00E1536A" w:rsidRDefault="00E1536A" w:rsidP="00E1536A">
      <w:pPr>
        <w:pStyle w:val="ListParagraph"/>
        <w:numPr>
          <w:ilvl w:val="0"/>
          <w:numId w:val="2"/>
        </w:numPr>
        <w:jc w:val="both"/>
        <w:rPr>
          <w:rFonts w:ascii="Arial" w:hAnsi="Arial" w:cs="Arial"/>
          <w:sz w:val="24"/>
          <w:szCs w:val="24"/>
        </w:rPr>
      </w:pPr>
      <w:r w:rsidRPr="00E1536A">
        <w:rPr>
          <w:rFonts w:ascii="Arial" w:hAnsi="Arial" w:cs="Arial"/>
          <w:sz w:val="24"/>
          <w:szCs w:val="24"/>
        </w:rPr>
        <w:t xml:space="preserve">Los estudios psicométricos de la versión </w:t>
      </w:r>
      <w:r w:rsidR="002A11AC">
        <w:rPr>
          <w:rFonts w:ascii="Arial" w:hAnsi="Arial" w:cs="Arial"/>
          <w:sz w:val="24"/>
          <w:szCs w:val="24"/>
        </w:rPr>
        <w:t>en español</w:t>
      </w:r>
      <w:r w:rsidRPr="00E1536A">
        <w:rPr>
          <w:rFonts w:ascii="Arial" w:hAnsi="Arial" w:cs="Arial"/>
          <w:sz w:val="24"/>
          <w:szCs w:val="24"/>
        </w:rPr>
        <w:t xml:space="preserve"> del BDI-II se han llevado a cabo con varias muestras de tamaño moderado o alto, extraídas en su mayor parte de la Comunidad de Madrid: pacientes adultos con diversos trastornos psicológicos que seguían tratamientos psicológicos ambulatorios, adultos de la población general y estudiantes universitarios de diversas facultades. Los ítems presentan altas saturaciones en un factor o dimensión básica de depresión. Las puntuaciones presentan una alta fiabilidad, estimada mediante diseños de consistencia interna. La validez convergente con otras medidas de depresión es adecuada. </w:t>
      </w:r>
    </w:p>
    <w:p w14:paraId="46BB78FC" w14:textId="2D5EC27B" w:rsidR="00025B9A" w:rsidRPr="000B606D" w:rsidRDefault="00E1536A" w:rsidP="00025B9A">
      <w:pPr>
        <w:pStyle w:val="ListParagraph"/>
        <w:numPr>
          <w:ilvl w:val="0"/>
          <w:numId w:val="2"/>
        </w:numPr>
        <w:jc w:val="both"/>
        <w:rPr>
          <w:rFonts w:ascii="Arial" w:hAnsi="Arial" w:cs="Arial"/>
          <w:sz w:val="28"/>
          <w:szCs w:val="28"/>
        </w:rPr>
      </w:pPr>
      <w:r w:rsidRPr="00E1536A">
        <w:rPr>
          <w:rFonts w:ascii="Arial" w:hAnsi="Arial" w:cs="Arial"/>
          <w:sz w:val="24"/>
          <w:szCs w:val="24"/>
        </w:rPr>
        <w:t>Las puntuaciones muestran una alta discriminación entre personas con un trastorno depresivo mayor y sin depresión, diagnosticadas mediante entrevistas estructuradas, tanto en muestras de pacientes como en muestras de estudiantes universitarios. En el Manual se incluyen tablas con índices estadísticos valiosos para seleccionar los puntos de corte más apropiados para diversos propósitos</w:t>
      </w:r>
      <w:r w:rsidR="00275638">
        <w:rPr>
          <w:rFonts w:ascii="Arial" w:hAnsi="Arial" w:cs="Arial"/>
          <w:sz w:val="24"/>
          <w:szCs w:val="24"/>
        </w:rPr>
        <w:t>.</w:t>
      </w:r>
    </w:p>
    <w:p w14:paraId="2757AC58" w14:textId="4BD3A0E8" w:rsidR="000B606D" w:rsidRDefault="00D42635" w:rsidP="000B606D">
      <w:pPr>
        <w:jc w:val="both"/>
        <w:rPr>
          <w:rFonts w:ascii="Arial" w:hAnsi="Arial" w:cs="Arial"/>
          <w:sz w:val="24"/>
          <w:szCs w:val="24"/>
        </w:rPr>
      </w:pPr>
      <w:r>
        <w:rPr>
          <w:rFonts w:ascii="Arial" w:hAnsi="Arial" w:cs="Arial"/>
          <w:sz w:val="24"/>
          <w:szCs w:val="24"/>
        </w:rPr>
        <w:t>Fases en la adaptación del Inventario de Depresión de Beck-II</w:t>
      </w:r>
    </w:p>
    <w:p w14:paraId="10D0C1DF" w14:textId="627A8324" w:rsidR="00D42635" w:rsidRDefault="00D42635" w:rsidP="000B606D">
      <w:pPr>
        <w:jc w:val="both"/>
        <w:rPr>
          <w:rFonts w:ascii="Arial" w:hAnsi="Arial" w:cs="Arial"/>
          <w:sz w:val="24"/>
          <w:szCs w:val="24"/>
        </w:rPr>
      </w:pPr>
      <w:r>
        <w:rPr>
          <w:rFonts w:ascii="Arial" w:hAnsi="Arial" w:cs="Arial"/>
          <w:sz w:val="24"/>
          <w:szCs w:val="24"/>
        </w:rPr>
        <w:t>Fase 1: Adaptación lingüística del Inventario de Depresión de Beck-II</w:t>
      </w:r>
    </w:p>
    <w:p w14:paraId="54DBF238" w14:textId="38E9BAE0" w:rsidR="00D42635" w:rsidRDefault="00D42635" w:rsidP="000B606D">
      <w:pPr>
        <w:jc w:val="both"/>
        <w:rPr>
          <w:rFonts w:ascii="Arial" w:hAnsi="Arial" w:cs="Arial"/>
          <w:sz w:val="24"/>
          <w:szCs w:val="24"/>
        </w:rPr>
      </w:pPr>
      <w:r>
        <w:rPr>
          <w:rFonts w:ascii="Arial" w:hAnsi="Arial" w:cs="Arial"/>
          <w:sz w:val="24"/>
          <w:szCs w:val="24"/>
        </w:rPr>
        <w:t>Para realizar la adaptación lingüística de BDI-II se siguieron los siguientes pasos:</w:t>
      </w:r>
    </w:p>
    <w:p w14:paraId="79B2F6EB" w14:textId="5D30CE3C" w:rsidR="00D42635" w:rsidRDefault="00D42635" w:rsidP="00D42635">
      <w:pPr>
        <w:pStyle w:val="ListParagraph"/>
        <w:numPr>
          <w:ilvl w:val="0"/>
          <w:numId w:val="6"/>
        </w:numPr>
        <w:jc w:val="both"/>
        <w:rPr>
          <w:rFonts w:ascii="Arial" w:hAnsi="Arial" w:cs="Arial"/>
          <w:sz w:val="24"/>
          <w:szCs w:val="24"/>
        </w:rPr>
      </w:pPr>
      <w:r>
        <w:rPr>
          <w:rFonts w:ascii="Arial" w:hAnsi="Arial" w:cs="Arial"/>
          <w:sz w:val="24"/>
          <w:szCs w:val="24"/>
        </w:rPr>
        <w:t>Selección de traductores: Se conformaron dos grupos independientes de traductores. El primero estuvo compuesto por tres traductores profesionales del ingles y el segundo por tres estudiantes avanzadas de psicología con una formación bilingüe en inglés sólida y acreditada. Estos traductores realizaron actividades reportando resultados a un comité formado por la directora del proyecto y dos especialistas en psicología clínica para obtener una versión experimental del BDI-II.</w:t>
      </w:r>
    </w:p>
    <w:p w14:paraId="3464BFD8" w14:textId="77777777" w:rsidR="001656B2" w:rsidRDefault="001656B2" w:rsidP="001656B2">
      <w:pPr>
        <w:pStyle w:val="ListParagraph"/>
        <w:jc w:val="both"/>
        <w:rPr>
          <w:rFonts w:ascii="Arial" w:hAnsi="Arial" w:cs="Arial"/>
          <w:sz w:val="24"/>
          <w:szCs w:val="24"/>
        </w:rPr>
      </w:pPr>
    </w:p>
    <w:p w14:paraId="7037E3D6" w14:textId="1EA84B66" w:rsidR="00D42635" w:rsidRDefault="00EB3E7B" w:rsidP="00D42635">
      <w:pPr>
        <w:pStyle w:val="ListParagraph"/>
        <w:numPr>
          <w:ilvl w:val="0"/>
          <w:numId w:val="6"/>
        </w:numPr>
        <w:jc w:val="both"/>
        <w:rPr>
          <w:rFonts w:ascii="Arial" w:hAnsi="Arial" w:cs="Arial"/>
          <w:sz w:val="24"/>
          <w:szCs w:val="24"/>
        </w:rPr>
      </w:pPr>
      <w:r>
        <w:rPr>
          <w:rFonts w:ascii="Arial" w:hAnsi="Arial" w:cs="Arial"/>
          <w:sz w:val="24"/>
          <w:szCs w:val="24"/>
        </w:rPr>
        <w:t xml:space="preserve">Traducción-back </w:t>
      </w:r>
      <w:proofErr w:type="spellStart"/>
      <w:r>
        <w:rPr>
          <w:rFonts w:ascii="Arial" w:hAnsi="Arial" w:cs="Arial"/>
          <w:sz w:val="24"/>
          <w:szCs w:val="24"/>
        </w:rPr>
        <w:t>translation</w:t>
      </w:r>
      <w:proofErr w:type="spellEnd"/>
      <w:r>
        <w:rPr>
          <w:rFonts w:ascii="Arial" w:hAnsi="Arial" w:cs="Arial"/>
          <w:sz w:val="24"/>
          <w:szCs w:val="24"/>
        </w:rPr>
        <w:t xml:space="preserve">: Para garantizar la equivalencia lingüística de los enunciados del BDI-II se utilizó un diseño de </w:t>
      </w:r>
      <w:proofErr w:type="spellStart"/>
      <w:r>
        <w:rPr>
          <w:rFonts w:ascii="Arial" w:hAnsi="Arial" w:cs="Arial"/>
          <w:sz w:val="24"/>
          <w:szCs w:val="24"/>
        </w:rPr>
        <w:t>re-traducción</w:t>
      </w:r>
      <w:proofErr w:type="spellEnd"/>
      <w:r>
        <w:rPr>
          <w:rFonts w:ascii="Arial" w:hAnsi="Arial" w:cs="Arial"/>
          <w:sz w:val="24"/>
          <w:szCs w:val="24"/>
        </w:rPr>
        <w:t xml:space="preserve"> (back </w:t>
      </w:r>
      <w:proofErr w:type="spellStart"/>
      <w:r>
        <w:rPr>
          <w:rFonts w:ascii="Arial" w:hAnsi="Arial" w:cs="Arial"/>
          <w:sz w:val="24"/>
          <w:szCs w:val="24"/>
        </w:rPr>
        <w:t>translation</w:t>
      </w:r>
      <w:proofErr w:type="spellEnd"/>
      <w:r>
        <w:rPr>
          <w:rFonts w:ascii="Arial" w:hAnsi="Arial" w:cs="Arial"/>
          <w:sz w:val="24"/>
          <w:szCs w:val="24"/>
        </w:rPr>
        <w:t>). Esto permite , por un lado, evitar la modificaciones radicales en el contenido de los ítems y, por otro, considerar el significado psicológico de los términos antes que una equivalencia literal. Este proceso se puede apreciar en la tabla 1.</w:t>
      </w:r>
    </w:p>
    <w:p w14:paraId="39615382" w14:textId="6E4B69D2" w:rsidR="00EB3E7B" w:rsidRDefault="00EB3E7B" w:rsidP="00EB3E7B">
      <w:pPr>
        <w:jc w:val="both"/>
        <w:rPr>
          <w:rFonts w:ascii="Arial" w:hAnsi="Arial" w:cs="Arial"/>
          <w:sz w:val="24"/>
          <w:szCs w:val="24"/>
        </w:rPr>
      </w:pPr>
    </w:p>
    <w:p w14:paraId="5E2798D8" w14:textId="77777777" w:rsidR="00EB3E7B" w:rsidRPr="00EB3E7B" w:rsidRDefault="00EB3E7B" w:rsidP="00EB3E7B">
      <w:pPr>
        <w:jc w:val="both"/>
        <w:rPr>
          <w:rFonts w:ascii="Arial" w:hAnsi="Arial" w:cs="Arial"/>
          <w:sz w:val="24"/>
          <w:szCs w:val="24"/>
        </w:rPr>
      </w:pPr>
    </w:p>
    <w:p w14:paraId="59B765F6" w14:textId="7B95E1E2" w:rsidR="00EB3E7B" w:rsidRDefault="00EB3E7B" w:rsidP="00EB3E7B">
      <w:pPr>
        <w:pStyle w:val="ListParagraph"/>
        <w:jc w:val="center"/>
        <w:rPr>
          <w:rFonts w:ascii="Arial" w:hAnsi="Arial" w:cs="Arial"/>
          <w:sz w:val="24"/>
          <w:szCs w:val="24"/>
        </w:rPr>
      </w:pPr>
    </w:p>
    <w:tbl>
      <w:tblPr>
        <w:tblStyle w:val="TableGrid"/>
        <w:tblW w:w="0" w:type="auto"/>
        <w:tblInd w:w="720" w:type="dxa"/>
        <w:tblLook w:val="04A0" w:firstRow="1" w:lastRow="0" w:firstColumn="1" w:lastColumn="0" w:noHBand="0" w:noVBand="1"/>
      </w:tblPr>
      <w:tblGrid>
        <w:gridCol w:w="1541"/>
        <w:gridCol w:w="1583"/>
        <w:gridCol w:w="941"/>
        <w:gridCol w:w="585"/>
        <w:gridCol w:w="1531"/>
        <w:gridCol w:w="1593"/>
      </w:tblGrid>
      <w:tr w:rsidR="00EB3E7B" w14:paraId="1887157B" w14:textId="77777777" w:rsidTr="00BF20A8">
        <w:tc>
          <w:tcPr>
            <w:tcW w:w="1541" w:type="dxa"/>
          </w:tcPr>
          <w:p w14:paraId="07A876EB" w14:textId="301F848A" w:rsidR="00EB3E7B" w:rsidRDefault="00EB3E7B" w:rsidP="00EB3E7B">
            <w:pPr>
              <w:pStyle w:val="ListParagraph"/>
              <w:ind w:left="0"/>
              <w:jc w:val="center"/>
              <w:rPr>
                <w:rFonts w:ascii="Arial" w:hAnsi="Arial" w:cs="Arial"/>
                <w:sz w:val="18"/>
                <w:szCs w:val="18"/>
              </w:rPr>
            </w:pPr>
            <w:r w:rsidRPr="00EB3E7B">
              <w:rPr>
                <w:rFonts w:ascii="Arial" w:hAnsi="Arial" w:cs="Arial"/>
                <w:sz w:val="18"/>
                <w:szCs w:val="18"/>
              </w:rPr>
              <w:t>Traductor A</w:t>
            </w:r>
          </w:p>
          <w:p w14:paraId="442C7574" w14:textId="77777777" w:rsidR="00EB3E7B" w:rsidRDefault="00EB3E7B" w:rsidP="00EB3E7B">
            <w:pPr>
              <w:pStyle w:val="ListParagraph"/>
              <w:ind w:left="0"/>
              <w:jc w:val="center"/>
              <w:rPr>
                <w:rFonts w:ascii="Arial" w:hAnsi="Arial" w:cs="Arial"/>
                <w:sz w:val="18"/>
                <w:szCs w:val="18"/>
              </w:rPr>
            </w:pPr>
          </w:p>
          <w:p w14:paraId="3F1FC50A" w14:textId="1052E242" w:rsidR="00EB3E7B" w:rsidRPr="00EB3E7B" w:rsidRDefault="00EB3E7B" w:rsidP="00EB3E7B">
            <w:pPr>
              <w:pStyle w:val="ListParagraph"/>
              <w:ind w:left="0"/>
              <w:jc w:val="both"/>
              <w:rPr>
                <w:rFonts w:ascii="Arial" w:hAnsi="Arial" w:cs="Arial"/>
                <w:sz w:val="18"/>
                <w:szCs w:val="18"/>
              </w:rPr>
            </w:pPr>
            <w:r>
              <w:rPr>
                <w:rFonts w:ascii="Arial" w:hAnsi="Arial" w:cs="Arial"/>
                <w:sz w:val="18"/>
                <w:szCs w:val="18"/>
              </w:rPr>
              <w:t>BDI-II original (del inglés a castellano)</w:t>
            </w:r>
          </w:p>
        </w:tc>
        <w:tc>
          <w:tcPr>
            <w:tcW w:w="1583" w:type="dxa"/>
          </w:tcPr>
          <w:p w14:paraId="6AF52435" w14:textId="78A2BC61" w:rsidR="00EB3E7B" w:rsidRDefault="00EB3E7B" w:rsidP="00EB3E7B">
            <w:pPr>
              <w:pStyle w:val="ListParagraph"/>
              <w:ind w:left="0"/>
              <w:jc w:val="center"/>
              <w:rPr>
                <w:rFonts w:ascii="Arial" w:hAnsi="Arial" w:cs="Arial"/>
                <w:sz w:val="18"/>
                <w:szCs w:val="18"/>
              </w:rPr>
            </w:pPr>
            <w:r>
              <w:rPr>
                <w:rFonts w:ascii="Arial" w:hAnsi="Arial" w:cs="Arial"/>
                <w:sz w:val="18"/>
                <w:szCs w:val="18"/>
              </w:rPr>
              <w:t>VEC1</w:t>
            </w:r>
          </w:p>
          <w:p w14:paraId="1621BBE5" w14:textId="77777777" w:rsidR="00EB3E7B" w:rsidRDefault="00EB3E7B" w:rsidP="00EB3E7B">
            <w:pPr>
              <w:pStyle w:val="ListParagraph"/>
              <w:ind w:left="0"/>
              <w:jc w:val="center"/>
              <w:rPr>
                <w:rFonts w:ascii="Arial" w:hAnsi="Arial" w:cs="Arial"/>
                <w:sz w:val="18"/>
                <w:szCs w:val="18"/>
              </w:rPr>
            </w:pPr>
          </w:p>
          <w:p w14:paraId="40D6F0C4" w14:textId="3CEF2A83" w:rsidR="00EB3E7B" w:rsidRPr="00EB3E7B" w:rsidRDefault="00EB3E7B" w:rsidP="00EB3E7B">
            <w:pPr>
              <w:pStyle w:val="ListParagraph"/>
              <w:ind w:left="0"/>
              <w:jc w:val="both"/>
              <w:rPr>
                <w:rFonts w:ascii="Arial" w:hAnsi="Arial" w:cs="Arial"/>
                <w:sz w:val="18"/>
                <w:szCs w:val="18"/>
              </w:rPr>
            </w:pPr>
            <w:r>
              <w:rPr>
                <w:rFonts w:ascii="Arial" w:hAnsi="Arial" w:cs="Arial"/>
                <w:sz w:val="18"/>
                <w:szCs w:val="18"/>
              </w:rPr>
              <w:t xml:space="preserve">Versión experimental en castellano del BDI-II </w:t>
            </w:r>
            <w:proofErr w:type="spellStart"/>
            <w:r>
              <w:rPr>
                <w:rFonts w:ascii="Arial" w:hAnsi="Arial" w:cs="Arial"/>
                <w:sz w:val="18"/>
                <w:szCs w:val="18"/>
              </w:rPr>
              <w:t>Nª</w:t>
            </w:r>
            <w:proofErr w:type="spellEnd"/>
            <w:r>
              <w:rPr>
                <w:rFonts w:ascii="Arial" w:hAnsi="Arial" w:cs="Arial"/>
                <w:sz w:val="18"/>
                <w:szCs w:val="18"/>
              </w:rPr>
              <w:t xml:space="preserve"> 1</w:t>
            </w:r>
          </w:p>
        </w:tc>
        <w:tc>
          <w:tcPr>
            <w:tcW w:w="1526" w:type="dxa"/>
            <w:gridSpan w:val="2"/>
          </w:tcPr>
          <w:p w14:paraId="7BEE01AB" w14:textId="77777777" w:rsidR="00EB3E7B" w:rsidRDefault="00EB3E7B" w:rsidP="00EB3E7B">
            <w:pPr>
              <w:pStyle w:val="ListParagraph"/>
              <w:ind w:left="0"/>
              <w:jc w:val="center"/>
              <w:rPr>
                <w:rFonts w:ascii="Arial" w:hAnsi="Arial" w:cs="Arial"/>
                <w:sz w:val="18"/>
                <w:szCs w:val="18"/>
              </w:rPr>
            </w:pPr>
            <w:r>
              <w:rPr>
                <w:rFonts w:ascii="Arial" w:hAnsi="Arial" w:cs="Arial"/>
                <w:sz w:val="18"/>
                <w:szCs w:val="18"/>
              </w:rPr>
              <w:t>Traductor B</w:t>
            </w:r>
          </w:p>
          <w:p w14:paraId="76B9B3B1" w14:textId="77777777" w:rsidR="00EB3E7B" w:rsidRDefault="00EB3E7B" w:rsidP="00EB3E7B">
            <w:pPr>
              <w:pStyle w:val="ListParagraph"/>
              <w:ind w:left="0"/>
              <w:jc w:val="center"/>
              <w:rPr>
                <w:rFonts w:ascii="Arial" w:hAnsi="Arial" w:cs="Arial"/>
                <w:sz w:val="18"/>
                <w:szCs w:val="18"/>
              </w:rPr>
            </w:pPr>
          </w:p>
          <w:p w14:paraId="10DF6AC5" w14:textId="69E2035F" w:rsidR="00EB3E7B" w:rsidRPr="00EB3E7B" w:rsidRDefault="00EB3E7B" w:rsidP="00EB3E7B">
            <w:pPr>
              <w:pStyle w:val="ListParagraph"/>
              <w:ind w:left="0"/>
              <w:jc w:val="both"/>
              <w:rPr>
                <w:rFonts w:ascii="Arial" w:hAnsi="Arial" w:cs="Arial"/>
                <w:sz w:val="18"/>
                <w:szCs w:val="18"/>
              </w:rPr>
            </w:pPr>
            <w:r>
              <w:rPr>
                <w:rFonts w:ascii="Arial" w:hAnsi="Arial" w:cs="Arial"/>
                <w:sz w:val="18"/>
                <w:szCs w:val="18"/>
              </w:rPr>
              <w:t>VEC1 de castellano a inglés</w:t>
            </w:r>
          </w:p>
        </w:tc>
        <w:tc>
          <w:tcPr>
            <w:tcW w:w="1531" w:type="dxa"/>
          </w:tcPr>
          <w:p w14:paraId="606A417F" w14:textId="77777777" w:rsidR="00EB3E7B" w:rsidRDefault="00EB3E7B" w:rsidP="00EB3E7B">
            <w:pPr>
              <w:pStyle w:val="ListParagraph"/>
              <w:ind w:left="0"/>
              <w:jc w:val="center"/>
              <w:rPr>
                <w:rFonts w:ascii="Arial" w:hAnsi="Arial" w:cs="Arial"/>
                <w:sz w:val="18"/>
                <w:szCs w:val="18"/>
              </w:rPr>
            </w:pPr>
            <w:r>
              <w:rPr>
                <w:rFonts w:ascii="Arial" w:hAnsi="Arial" w:cs="Arial"/>
                <w:sz w:val="18"/>
                <w:szCs w:val="18"/>
              </w:rPr>
              <w:t>VIR1</w:t>
            </w:r>
          </w:p>
          <w:p w14:paraId="595A032B" w14:textId="77777777" w:rsidR="00EB3E7B" w:rsidRDefault="00EB3E7B" w:rsidP="00EB3E7B">
            <w:pPr>
              <w:pStyle w:val="ListParagraph"/>
              <w:ind w:left="0"/>
              <w:jc w:val="center"/>
              <w:rPr>
                <w:rFonts w:ascii="Arial" w:hAnsi="Arial" w:cs="Arial"/>
                <w:sz w:val="18"/>
                <w:szCs w:val="18"/>
              </w:rPr>
            </w:pPr>
          </w:p>
          <w:p w14:paraId="660FB9B1" w14:textId="1FF7139C" w:rsidR="00EB3E7B" w:rsidRPr="00EB3E7B" w:rsidRDefault="00EB3E7B" w:rsidP="00EB3E7B">
            <w:pPr>
              <w:pStyle w:val="ListParagraph"/>
              <w:ind w:left="0"/>
              <w:jc w:val="both"/>
              <w:rPr>
                <w:rFonts w:ascii="Arial" w:hAnsi="Arial" w:cs="Arial"/>
                <w:sz w:val="18"/>
                <w:szCs w:val="18"/>
              </w:rPr>
            </w:pPr>
            <w:r>
              <w:rPr>
                <w:rFonts w:ascii="Arial" w:hAnsi="Arial" w:cs="Arial"/>
                <w:sz w:val="18"/>
                <w:szCs w:val="18"/>
              </w:rPr>
              <w:t xml:space="preserve">Versión de inglés por </w:t>
            </w:r>
            <w:proofErr w:type="spellStart"/>
            <w:r>
              <w:rPr>
                <w:rFonts w:ascii="Arial" w:hAnsi="Arial" w:cs="Arial"/>
                <w:sz w:val="18"/>
                <w:szCs w:val="18"/>
              </w:rPr>
              <w:t>re-traducción</w:t>
            </w:r>
            <w:proofErr w:type="spellEnd"/>
            <w:r>
              <w:rPr>
                <w:rFonts w:ascii="Arial" w:hAnsi="Arial" w:cs="Arial"/>
                <w:sz w:val="18"/>
                <w:szCs w:val="18"/>
              </w:rPr>
              <w:t xml:space="preserve"> de VEC1</w:t>
            </w:r>
          </w:p>
        </w:tc>
        <w:tc>
          <w:tcPr>
            <w:tcW w:w="1593" w:type="dxa"/>
          </w:tcPr>
          <w:p w14:paraId="198FE70F" w14:textId="77777777" w:rsidR="00EB3E7B" w:rsidRDefault="00EB3E7B" w:rsidP="00EB3E7B">
            <w:pPr>
              <w:pStyle w:val="ListParagraph"/>
              <w:ind w:left="0"/>
              <w:jc w:val="center"/>
              <w:rPr>
                <w:rFonts w:ascii="Arial" w:hAnsi="Arial" w:cs="Arial"/>
                <w:sz w:val="18"/>
                <w:szCs w:val="18"/>
              </w:rPr>
            </w:pPr>
            <w:r>
              <w:rPr>
                <w:rFonts w:ascii="Arial" w:hAnsi="Arial" w:cs="Arial"/>
                <w:sz w:val="18"/>
                <w:szCs w:val="18"/>
              </w:rPr>
              <w:t>Traductor C</w:t>
            </w:r>
          </w:p>
          <w:p w14:paraId="523F45AE" w14:textId="77777777" w:rsidR="00EB3E7B" w:rsidRDefault="00EB3E7B" w:rsidP="00EB3E7B">
            <w:pPr>
              <w:pStyle w:val="ListParagraph"/>
              <w:ind w:left="0"/>
              <w:jc w:val="center"/>
              <w:rPr>
                <w:rFonts w:ascii="Arial" w:hAnsi="Arial" w:cs="Arial"/>
                <w:sz w:val="18"/>
                <w:szCs w:val="18"/>
              </w:rPr>
            </w:pPr>
          </w:p>
          <w:p w14:paraId="0453A900" w14:textId="4E60866A" w:rsidR="00EB3E7B" w:rsidRPr="00EB3E7B" w:rsidRDefault="00EB3E7B" w:rsidP="00EB3E7B">
            <w:pPr>
              <w:pStyle w:val="ListParagraph"/>
              <w:ind w:left="0"/>
              <w:jc w:val="both"/>
              <w:rPr>
                <w:rFonts w:ascii="Arial" w:hAnsi="Arial" w:cs="Arial"/>
                <w:sz w:val="18"/>
                <w:szCs w:val="18"/>
              </w:rPr>
            </w:pPr>
            <w:r>
              <w:rPr>
                <w:rFonts w:ascii="Arial" w:hAnsi="Arial" w:cs="Arial"/>
                <w:sz w:val="18"/>
                <w:szCs w:val="18"/>
              </w:rPr>
              <w:t xml:space="preserve">Comparación de la versión en castellano y de la </w:t>
            </w:r>
            <w:proofErr w:type="spellStart"/>
            <w:r>
              <w:rPr>
                <w:rFonts w:ascii="Arial" w:hAnsi="Arial" w:cs="Arial"/>
                <w:sz w:val="18"/>
                <w:szCs w:val="18"/>
              </w:rPr>
              <w:t>re-traducción</w:t>
            </w:r>
            <w:proofErr w:type="spellEnd"/>
            <w:r>
              <w:rPr>
                <w:rFonts w:ascii="Arial" w:hAnsi="Arial" w:cs="Arial"/>
                <w:sz w:val="18"/>
                <w:szCs w:val="18"/>
              </w:rPr>
              <w:t xml:space="preserve"> (VEC1 y VIR1)</w:t>
            </w:r>
          </w:p>
        </w:tc>
      </w:tr>
      <w:tr w:rsidR="00BF20A8" w14:paraId="090B85FC" w14:textId="77777777" w:rsidTr="00516446">
        <w:tc>
          <w:tcPr>
            <w:tcW w:w="7774" w:type="dxa"/>
            <w:gridSpan w:val="6"/>
          </w:tcPr>
          <w:p w14:paraId="5F56548E" w14:textId="77777777" w:rsidR="00BF20A8" w:rsidRDefault="00BF20A8" w:rsidP="00BF20A8">
            <w:pPr>
              <w:pStyle w:val="ListParagraph"/>
              <w:ind w:left="0"/>
              <w:jc w:val="both"/>
              <w:rPr>
                <w:rFonts w:ascii="Arial" w:hAnsi="Arial" w:cs="Arial"/>
                <w:b/>
                <w:bCs/>
                <w:sz w:val="18"/>
                <w:szCs w:val="18"/>
              </w:rPr>
            </w:pPr>
            <w:r>
              <w:rPr>
                <w:rFonts w:ascii="Arial" w:hAnsi="Arial" w:cs="Arial"/>
                <w:b/>
                <w:bCs/>
                <w:sz w:val="18"/>
                <w:szCs w:val="18"/>
              </w:rPr>
              <w:t>Resultados de la versión experimental 1:</w:t>
            </w:r>
          </w:p>
          <w:p w14:paraId="5177AA01" w14:textId="203F45C2" w:rsidR="00BF20A8" w:rsidRDefault="00BF20A8" w:rsidP="00BF20A8">
            <w:pPr>
              <w:pStyle w:val="ListParagraph"/>
              <w:ind w:left="0"/>
              <w:jc w:val="both"/>
              <w:rPr>
                <w:rFonts w:ascii="Arial" w:hAnsi="Arial" w:cs="Arial"/>
                <w:sz w:val="18"/>
                <w:szCs w:val="18"/>
              </w:rPr>
            </w:pPr>
            <w:r>
              <w:rPr>
                <w:rFonts w:ascii="Arial" w:hAnsi="Arial" w:cs="Arial"/>
                <w:sz w:val="18"/>
                <w:szCs w:val="18"/>
              </w:rPr>
              <w:t>De los 90 enunciados originales del BDI-II</w:t>
            </w:r>
            <w:r w:rsidR="00D41772">
              <w:rPr>
                <w:rFonts w:ascii="Arial" w:hAnsi="Arial" w:cs="Arial"/>
                <w:sz w:val="18"/>
                <w:szCs w:val="18"/>
              </w:rPr>
              <w:t>,</w:t>
            </w:r>
          </w:p>
          <w:p w14:paraId="46355739" w14:textId="77777777" w:rsidR="00BF20A8" w:rsidRDefault="00BF20A8" w:rsidP="00BF20A8">
            <w:pPr>
              <w:pStyle w:val="ListParagraph"/>
              <w:ind w:left="0"/>
              <w:jc w:val="both"/>
              <w:rPr>
                <w:rFonts w:ascii="Arial" w:hAnsi="Arial" w:cs="Arial"/>
                <w:sz w:val="18"/>
                <w:szCs w:val="18"/>
              </w:rPr>
            </w:pPr>
            <w:r>
              <w:rPr>
                <w:rFonts w:ascii="Arial" w:hAnsi="Arial" w:cs="Arial"/>
                <w:sz w:val="18"/>
                <w:szCs w:val="18"/>
              </w:rPr>
              <w:t xml:space="preserve">34 permanecieron idénticas en la </w:t>
            </w:r>
            <w:proofErr w:type="spellStart"/>
            <w:r>
              <w:rPr>
                <w:rFonts w:ascii="Arial" w:hAnsi="Arial" w:cs="Arial"/>
                <w:sz w:val="18"/>
                <w:szCs w:val="18"/>
              </w:rPr>
              <w:t>re-traducción</w:t>
            </w:r>
            <w:proofErr w:type="spellEnd"/>
            <w:r>
              <w:rPr>
                <w:rFonts w:ascii="Arial" w:hAnsi="Arial" w:cs="Arial"/>
                <w:sz w:val="18"/>
                <w:szCs w:val="18"/>
              </w:rPr>
              <w:t xml:space="preserve"> (37.7%).</w:t>
            </w:r>
          </w:p>
          <w:p w14:paraId="0548BF7D" w14:textId="77777777" w:rsidR="00BF20A8" w:rsidRDefault="00BF20A8" w:rsidP="00BF20A8">
            <w:pPr>
              <w:pStyle w:val="ListParagraph"/>
              <w:ind w:left="0"/>
              <w:jc w:val="both"/>
              <w:rPr>
                <w:rFonts w:ascii="Arial" w:hAnsi="Arial" w:cs="Arial"/>
                <w:sz w:val="18"/>
                <w:szCs w:val="18"/>
              </w:rPr>
            </w:pPr>
            <w:r>
              <w:rPr>
                <w:rFonts w:ascii="Arial" w:hAnsi="Arial" w:cs="Arial"/>
                <w:sz w:val="18"/>
                <w:szCs w:val="18"/>
              </w:rPr>
              <w:t>26 enunciados difirieron en una palabra (28.8%).</w:t>
            </w:r>
          </w:p>
          <w:p w14:paraId="7D13FFE7" w14:textId="77777777" w:rsidR="00BF20A8" w:rsidRDefault="00BF20A8" w:rsidP="00BF20A8">
            <w:pPr>
              <w:pStyle w:val="ListParagraph"/>
              <w:ind w:left="0"/>
              <w:jc w:val="both"/>
              <w:rPr>
                <w:rFonts w:ascii="Arial" w:hAnsi="Arial" w:cs="Arial"/>
                <w:sz w:val="18"/>
                <w:szCs w:val="18"/>
              </w:rPr>
            </w:pPr>
            <w:r>
              <w:rPr>
                <w:rFonts w:ascii="Arial" w:hAnsi="Arial" w:cs="Arial"/>
                <w:sz w:val="18"/>
                <w:szCs w:val="18"/>
              </w:rPr>
              <w:t>13 enunciados difirieron en dos palabras (14.4%).</w:t>
            </w:r>
          </w:p>
          <w:p w14:paraId="1558C1B2" w14:textId="2FC6DB28" w:rsidR="00BF20A8" w:rsidRPr="00BF20A8" w:rsidRDefault="00BF20A8" w:rsidP="00BF20A8">
            <w:pPr>
              <w:pStyle w:val="ListParagraph"/>
              <w:ind w:left="0"/>
              <w:jc w:val="both"/>
              <w:rPr>
                <w:rFonts w:ascii="Arial" w:hAnsi="Arial" w:cs="Arial"/>
                <w:sz w:val="18"/>
                <w:szCs w:val="18"/>
              </w:rPr>
            </w:pPr>
            <w:r>
              <w:rPr>
                <w:rFonts w:ascii="Arial" w:hAnsi="Arial" w:cs="Arial"/>
                <w:sz w:val="18"/>
                <w:szCs w:val="18"/>
              </w:rPr>
              <w:t>17 enunciados difirieron en tres palabras o más (18.8%).</w:t>
            </w:r>
          </w:p>
        </w:tc>
      </w:tr>
      <w:tr w:rsidR="00EB3E7B" w14:paraId="52E412FC" w14:textId="77777777" w:rsidTr="00BF20A8">
        <w:tc>
          <w:tcPr>
            <w:tcW w:w="1541" w:type="dxa"/>
          </w:tcPr>
          <w:p w14:paraId="10E63949" w14:textId="77777777" w:rsidR="00EB3E7B" w:rsidRDefault="00D41772" w:rsidP="00EB3E7B">
            <w:pPr>
              <w:pStyle w:val="ListParagraph"/>
              <w:ind w:left="0"/>
              <w:jc w:val="center"/>
              <w:rPr>
                <w:rFonts w:ascii="Arial" w:hAnsi="Arial" w:cs="Arial"/>
                <w:sz w:val="18"/>
                <w:szCs w:val="18"/>
              </w:rPr>
            </w:pPr>
            <w:r>
              <w:rPr>
                <w:rFonts w:ascii="Arial" w:hAnsi="Arial" w:cs="Arial"/>
                <w:sz w:val="18"/>
                <w:szCs w:val="18"/>
              </w:rPr>
              <w:t>Traductor D</w:t>
            </w:r>
          </w:p>
          <w:p w14:paraId="3B96207F" w14:textId="77777777" w:rsidR="00D41772" w:rsidRDefault="00D41772" w:rsidP="00EB3E7B">
            <w:pPr>
              <w:pStyle w:val="ListParagraph"/>
              <w:ind w:left="0"/>
              <w:jc w:val="center"/>
              <w:rPr>
                <w:rFonts w:ascii="Arial" w:hAnsi="Arial" w:cs="Arial"/>
                <w:sz w:val="18"/>
                <w:szCs w:val="18"/>
              </w:rPr>
            </w:pPr>
          </w:p>
          <w:p w14:paraId="1A1FD07E" w14:textId="73311059" w:rsidR="00D41772" w:rsidRPr="00EB3E7B" w:rsidRDefault="00D41772" w:rsidP="00D41772">
            <w:pPr>
              <w:pStyle w:val="ListParagraph"/>
              <w:ind w:left="0"/>
              <w:jc w:val="both"/>
              <w:rPr>
                <w:rFonts w:ascii="Arial" w:hAnsi="Arial" w:cs="Arial"/>
                <w:sz w:val="18"/>
                <w:szCs w:val="18"/>
              </w:rPr>
            </w:pPr>
            <w:r>
              <w:rPr>
                <w:rFonts w:ascii="Arial" w:hAnsi="Arial" w:cs="Arial"/>
                <w:sz w:val="18"/>
                <w:szCs w:val="18"/>
              </w:rPr>
              <w:t>BDI-II original (del inglés a castellano)</w:t>
            </w:r>
          </w:p>
        </w:tc>
        <w:tc>
          <w:tcPr>
            <w:tcW w:w="1583" w:type="dxa"/>
          </w:tcPr>
          <w:p w14:paraId="2E84F550" w14:textId="77777777" w:rsidR="00EB3E7B" w:rsidRDefault="00D41772" w:rsidP="00EB3E7B">
            <w:pPr>
              <w:pStyle w:val="ListParagraph"/>
              <w:ind w:left="0"/>
              <w:jc w:val="center"/>
              <w:rPr>
                <w:rFonts w:ascii="Arial" w:hAnsi="Arial" w:cs="Arial"/>
                <w:sz w:val="18"/>
                <w:szCs w:val="18"/>
              </w:rPr>
            </w:pPr>
            <w:r>
              <w:rPr>
                <w:rFonts w:ascii="Arial" w:hAnsi="Arial" w:cs="Arial"/>
                <w:sz w:val="18"/>
                <w:szCs w:val="18"/>
              </w:rPr>
              <w:t>VEC2</w:t>
            </w:r>
          </w:p>
          <w:p w14:paraId="1D136C88" w14:textId="77777777" w:rsidR="00D41772" w:rsidRDefault="00D41772" w:rsidP="00EB3E7B">
            <w:pPr>
              <w:pStyle w:val="ListParagraph"/>
              <w:ind w:left="0"/>
              <w:jc w:val="center"/>
              <w:rPr>
                <w:rFonts w:ascii="Arial" w:hAnsi="Arial" w:cs="Arial"/>
                <w:sz w:val="18"/>
                <w:szCs w:val="18"/>
              </w:rPr>
            </w:pPr>
          </w:p>
          <w:p w14:paraId="518E313D" w14:textId="6C0A2F62" w:rsidR="00D41772" w:rsidRPr="00EB3E7B" w:rsidRDefault="00D41772" w:rsidP="00D41772">
            <w:pPr>
              <w:pStyle w:val="ListParagraph"/>
              <w:ind w:left="0"/>
              <w:jc w:val="both"/>
              <w:rPr>
                <w:rFonts w:ascii="Arial" w:hAnsi="Arial" w:cs="Arial"/>
                <w:sz w:val="18"/>
                <w:szCs w:val="18"/>
              </w:rPr>
            </w:pPr>
            <w:r>
              <w:rPr>
                <w:rFonts w:ascii="Arial" w:hAnsi="Arial" w:cs="Arial"/>
                <w:sz w:val="18"/>
                <w:szCs w:val="18"/>
              </w:rPr>
              <w:t xml:space="preserve">Versión experimental en castellano del BDI-II </w:t>
            </w:r>
            <w:proofErr w:type="spellStart"/>
            <w:r>
              <w:rPr>
                <w:rFonts w:ascii="Arial" w:hAnsi="Arial" w:cs="Arial"/>
                <w:sz w:val="18"/>
                <w:szCs w:val="18"/>
              </w:rPr>
              <w:t>Nª</w:t>
            </w:r>
            <w:proofErr w:type="spellEnd"/>
            <w:r>
              <w:rPr>
                <w:rFonts w:ascii="Arial" w:hAnsi="Arial" w:cs="Arial"/>
                <w:sz w:val="18"/>
                <w:szCs w:val="18"/>
              </w:rPr>
              <w:t xml:space="preserve"> 2</w:t>
            </w:r>
          </w:p>
        </w:tc>
        <w:tc>
          <w:tcPr>
            <w:tcW w:w="1526" w:type="dxa"/>
            <w:gridSpan w:val="2"/>
          </w:tcPr>
          <w:p w14:paraId="756FF63D" w14:textId="77777777" w:rsidR="00EB3E7B" w:rsidRDefault="00D41772" w:rsidP="00EB3E7B">
            <w:pPr>
              <w:pStyle w:val="ListParagraph"/>
              <w:ind w:left="0"/>
              <w:jc w:val="center"/>
              <w:rPr>
                <w:rFonts w:ascii="Arial" w:hAnsi="Arial" w:cs="Arial"/>
                <w:sz w:val="18"/>
                <w:szCs w:val="18"/>
              </w:rPr>
            </w:pPr>
            <w:r>
              <w:rPr>
                <w:rFonts w:ascii="Arial" w:hAnsi="Arial" w:cs="Arial"/>
                <w:sz w:val="18"/>
                <w:szCs w:val="18"/>
              </w:rPr>
              <w:t>Traductor E</w:t>
            </w:r>
          </w:p>
          <w:p w14:paraId="1F01C9C7" w14:textId="77777777" w:rsidR="00D41772" w:rsidRDefault="00D41772" w:rsidP="00EB3E7B">
            <w:pPr>
              <w:pStyle w:val="ListParagraph"/>
              <w:ind w:left="0"/>
              <w:jc w:val="center"/>
              <w:rPr>
                <w:rFonts w:ascii="Arial" w:hAnsi="Arial" w:cs="Arial"/>
                <w:sz w:val="18"/>
                <w:szCs w:val="18"/>
              </w:rPr>
            </w:pPr>
          </w:p>
          <w:p w14:paraId="5703C53B" w14:textId="46BCB23C" w:rsidR="00D41772" w:rsidRPr="00EB3E7B" w:rsidRDefault="00D41772" w:rsidP="00D41772">
            <w:pPr>
              <w:pStyle w:val="ListParagraph"/>
              <w:ind w:left="0"/>
              <w:jc w:val="both"/>
              <w:rPr>
                <w:rFonts w:ascii="Arial" w:hAnsi="Arial" w:cs="Arial"/>
                <w:sz w:val="18"/>
                <w:szCs w:val="18"/>
              </w:rPr>
            </w:pPr>
            <w:r>
              <w:rPr>
                <w:rFonts w:ascii="Arial" w:hAnsi="Arial" w:cs="Arial"/>
                <w:sz w:val="18"/>
                <w:szCs w:val="18"/>
              </w:rPr>
              <w:t>VEC2 de castellano a inglés.</w:t>
            </w:r>
          </w:p>
        </w:tc>
        <w:tc>
          <w:tcPr>
            <w:tcW w:w="1531" w:type="dxa"/>
          </w:tcPr>
          <w:p w14:paraId="42EC9845" w14:textId="77777777" w:rsidR="00EB3E7B" w:rsidRDefault="00D41772" w:rsidP="00EB3E7B">
            <w:pPr>
              <w:pStyle w:val="ListParagraph"/>
              <w:ind w:left="0"/>
              <w:jc w:val="center"/>
              <w:rPr>
                <w:rFonts w:ascii="Arial" w:hAnsi="Arial" w:cs="Arial"/>
                <w:sz w:val="18"/>
                <w:szCs w:val="18"/>
              </w:rPr>
            </w:pPr>
            <w:r>
              <w:rPr>
                <w:rFonts w:ascii="Arial" w:hAnsi="Arial" w:cs="Arial"/>
                <w:sz w:val="18"/>
                <w:szCs w:val="18"/>
              </w:rPr>
              <w:t>VIR2</w:t>
            </w:r>
          </w:p>
          <w:p w14:paraId="04F0AFDC" w14:textId="77777777" w:rsidR="00D41772" w:rsidRDefault="00D41772" w:rsidP="00EB3E7B">
            <w:pPr>
              <w:pStyle w:val="ListParagraph"/>
              <w:ind w:left="0"/>
              <w:jc w:val="center"/>
              <w:rPr>
                <w:rFonts w:ascii="Arial" w:hAnsi="Arial" w:cs="Arial"/>
                <w:sz w:val="18"/>
                <w:szCs w:val="18"/>
              </w:rPr>
            </w:pPr>
          </w:p>
          <w:p w14:paraId="46B23AA1" w14:textId="1E24B1F1" w:rsidR="00D41772" w:rsidRPr="00EB3E7B" w:rsidRDefault="00D41772" w:rsidP="00D41772">
            <w:pPr>
              <w:pStyle w:val="ListParagraph"/>
              <w:ind w:left="0"/>
              <w:jc w:val="both"/>
              <w:rPr>
                <w:rFonts w:ascii="Arial" w:hAnsi="Arial" w:cs="Arial"/>
                <w:sz w:val="18"/>
                <w:szCs w:val="18"/>
              </w:rPr>
            </w:pPr>
            <w:r>
              <w:rPr>
                <w:rFonts w:ascii="Arial" w:hAnsi="Arial" w:cs="Arial"/>
                <w:sz w:val="18"/>
                <w:szCs w:val="18"/>
              </w:rPr>
              <w:t xml:space="preserve">Versión en inglés por </w:t>
            </w:r>
            <w:proofErr w:type="spellStart"/>
            <w:r>
              <w:rPr>
                <w:rFonts w:ascii="Arial" w:hAnsi="Arial" w:cs="Arial"/>
                <w:sz w:val="18"/>
                <w:szCs w:val="18"/>
              </w:rPr>
              <w:t>re-traducción</w:t>
            </w:r>
            <w:proofErr w:type="spellEnd"/>
            <w:r>
              <w:rPr>
                <w:rFonts w:ascii="Arial" w:hAnsi="Arial" w:cs="Arial"/>
                <w:sz w:val="18"/>
                <w:szCs w:val="18"/>
              </w:rPr>
              <w:t xml:space="preserve"> de VEC2</w:t>
            </w:r>
          </w:p>
        </w:tc>
        <w:tc>
          <w:tcPr>
            <w:tcW w:w="1593" w:type="dxa"/>
          </w:tcPr>
          <w:p w14:paraId="27130F3F" w14:textId="77777777" w:rsidR="00EB3E7B" w:rsidRDefault="00D41772" w:rsidP="00EB3E7B">
            <w:pPr>
              <w:pStyle w:val="ListParagraph"/>
              <w:ind w:left="0"/>
              <w:jc w:val="center"/>
              <w:rPr>
                <w:rFonts w:ascii="Arial" w:hAnsi="Arial" w:cs="Arial"/>
                <w:sz w:val="18"/>
                <w:szCs w:val="18"/>
              </w:rPr>
            </w:pPr>
            <w:r>
              <w:rPr>
                <w:rFonts w:ascii="Arial" w:hAnsi="Arial" w:cs="Arial"/>
                <w:sz w:val="18"/>
                <w:szCs w:val="18"/>
              </w:rPr>
              <w:t>Traductor F</w:t>
            </w:r>
          </w:p>
          <w:p w14:paraId="2D50D368" w14:textId="77777777" w:rsidR="00D41772" w:rsidRDefault="00D41772" w:rsidP="00EB3E7B">
            <w:pPr>
              <w:pStyle w:val="ListParagraph"/>
              <w:ind w:left="0"/>
              <w:jc w:val="center"/>
              <w:rPr>
                <w:rFonts w:ascii="Arial" w:hAnsi="Arial" w:cs="Arial"/>
                <w:sz w:val="18"/>
                <w:szCs w:val="18"/>
              </w:rPr>
            </w:pPr>
          </w:p>
          <w:p w14:paraId="3E80164B" w14:textId="5F871963" w:rsidR="00D41772" w:rsidRPr="00EB3E7B" w:rsidRDefault="00D41772" w:rsidP="00D41772">
            <w:pPr>
              <w:pStyle w:val="ListParagraph"/>
              <w:ind w:left="0"/>
              <w:jc w:val="both"/>
              <w:rPr>
                <w:rFonts w:ascii="Arial" w:hAnsi="Arial" w:cs="Arial"/>
                <w:sz w:val="18"/>
                <w:szCs w:val="18"/>
              </w:rPr>
            </w:pPr>
            <w:r>
              <w:rPr>
                <w:rFonts w:ascii="Arial" w:hAnsi="Arial" w:cs="Arial"/>
                <w:sz w:val="18"/>
                <w:szCs w:val="18"/>
              </w:rPr>
              <w:t xml:space="preserve">Comparación de la versión en castellano y </w:t>
            </w:r>
            <w:proofErr w:type="spellStart"/>
            <w:r>
              <w:rPr>
                <w:rFonts w:ascii="Arial" w:hAnsi="Arial" w:cs="Arial"/>
                <w:sz w:val="18"/>
                <w:szCs w:val="18"/>
              </w:rPr>
              <w:t>re-traducción</w:t>
            </w:r>
            <w:proofErr w:type="spellEnd"/>
            <w:r>
              <w:rPr>
                <w:rFonts w:ascii="Arial" w:hAnsi="Arial" w:cs="Arial"/>
                <w:sz w:val="18"/>
                <w:szCs w:val="18"/>
              </w:rPr>
              <w:t xml:space="preserve"> (VEC2 y VIR2)</w:t>
            </w:r>
          </w:p>
        </w:tc>
      </w:tr>
      <w:tr w:rsidR="00A95996" w14:paraId="1B63F312" w14:textId="77777777" w:rsidTr="00CD7853">
        <w:tc>
          <w:tcPr>
            <w:tcW w:w="7774" w:type="dxa"/>
            <w:gridSpan w:val="6"/>
          </w:tcPr>
          <w:p w14:paraId="7FBEE79D" w14:textId="7A20FC7D" w:rsidR="00A95996" w:rsidRDefault="00A95996" w:rsidP="00A95996">
            <w:pPr>
              <w:pStyle w:val="ListParagraph"/>
              <w:ind w:left="0"/>
              <w:jc w:val="both"/>
              <w:rPr>
                <w:rFonts w:ascii="Arial" w:hAnsi="Arial" w:cs="Arial"/>
                <w:b/>
                <w:bCs/>
                <w:sz w:val="18"/>
                <w:szCs w:val="18"/>
              </w:rPr>
            </w:pPr>
            <w:r>
              <w:rPr>
                <w:rFonts w:ascii="Arial" w:hAnsi="Arial" w:cs="Arial"/>
                <w:b/>
                <w:bCs/>
                <w:sz w:val="18"/>
                <w:szCs w:val="18"/>
              </w:rPr>
              <w:t>Resultados de la versión experimental 2:</w:t>
            </w:r>
          </w:p>
          <w:p w14:paraId="6A376832" w14:textId="77777777" w:rsidR="00A95996" w:rsidRDefault="00A95996" w:rsidP="00A95996">
            <w:pPr>
              <w:pStyle w:val="ListParagraph"/>
              <w:ind w:left="0"/>
              <w:jc w:val="both"/>
              <w:rPr>
                <w:rFonts w:ascii="Arial" w:hAnsi="Arial" w:cs="Arial"/>
                <w:sz w:val="18"/>
                <w:szCs w:val="18"/>
              </w:rPr>
            </w:pPr>
            <w:r>
              <w:rPr>
                <w:rFonts w:ascii="Arial" w:hAnsi="Arial" w:cs="Arial"/>
                <w:sz w:val="18"/>
                <w:szCs w:val="18"/>
              </w:rPr>
              <w:t>De los 90 enunciados originales del BDI-II,</w:t>
            </w:r>
          </w:p>
          <w:p w14:paraId="3C2920A4" w14:textId="77777777" w:rsidR="00A95996" w:rsidRDefault="00A95996" w:rsidP="00A95996">
            <w:pPr>
              <w:pStyle w:val="ListParagraph"/>
              <w:ind w:left="0"/>
              <w:jc w:val="both"/>
              <w:rPr>
                <w:rFonts w:ascii="Arial" w:hAnsi="Arial" w:cs="Arial"/>
                <w:sz w:val="18"/>
                <w:szCs w:val="18"/>
              </w:rPr>
            </w:pPr>
            <w:r>
              <w:rPr>
                <w:rFonts w:ascii="Arial" w:hAnsi="Arial" w:cs="Arial"/>
                <w:sz w:val="18"/>
                <w:szCs w:val="18"/>
              </w:rPr>
              <w:t xml:space="preserve">65 permanecieron idénticos en la </w:t>
            </w:r>
            <w:proofErr w:type="spellStart"/>
            <w:r>
              <w:rPr>
                <w:rFonts w:ascii="Arial" w:hAnsi="Arial" w:cs="Arial"/>
                <w:sz w:val="18"/>
                <w:szCs w:val="18"/>
              </w:rPr>
              <w:t>re-traducción</w:t>
            </w:r>
            <w:proofErr w:type="spellEnd"/>
            <w:r>
              <w:rPr>
                <w:rFonts w:ascii="Arial" w:hAnsi="Arial" w:cs="Arial"/>
                <w:sz w:val="18"/>
                <w:szCs w:val="18"/>
              </w:rPr>
              <w:t xml:space="preserve"> (72.3%).</w:t>
            </w:r>
          </w:p>
          <w:p w14:paraId="5B2995A6" w14:textId="77777777" w:rsidR="00A95996" w:rsidRDefault="00A95996" w:rsidP="00A95996">
            <w:pPr>
              <w:pStyle w:val="ListParagraph"/>
              <w:ind w:left="0"/>
              <w:jc w:val="both"/>
              <w:rPr>
                <w:rFonts w:ascii="Arial" w:hAnsi="Arial" w:cs="Arial"/>
                <w:sz w:val="18"/>
                <w:szCs w:val="18"/>
              </w:rPr>
            </w:pPr>
            <w:r>
              <w:rPr>
                <w:rFonts w:ascii="Arial" w:hAnsi="Arial" w:cs="Arial"/>
                <w:sz w:val="18"/>
                <w:szCs w:val="18"/>
              </w:rPr>
              <w:t>23 enunciados difirieron en una palabra (25.5%).</w:t>
            </w:r>
          </w:p>
          <w:p w14:paraId="65C4AEE2" w14:textId="77777777" w:rsidR="00A95996" w:rsidRDefault="00A95996" w:rsidP="00A95996">
            <w:pPr>
              <w:pStyle w:val="ListParagraph"/>
              <w:ind w:left="0"/>
              <w:jc w:val="both"/>
              <w:rPr>
                <w:rFonts w:ascii="Arial" w:hAnsi="Arial" w:cs="Arial"/>
                <w:sz w:val="18"/>
                <w:szCs w:val="18"/>
              </w:rPr>
            </w:pPr>
            <w:r>
              <w:rPr>
                <w:rFonts w:ascii="Arial" w:hAnsi="Arial" w:cs="Arial"/>
                <w:sz w:val="18"/>
                <w:szCs w:val="18"/>
              </w:rPr>
              <w:t>1 enunciado difirió en dos palabras (1.11%).</w:t>
            </w:r>
          </w:p>
          <w:p w14:paraId="19C450FE" w14:textId="4ED88DB0" w:rsidR="00A95996" w:rsidRPr="00EB3E7B" w:rsidRDefault="00A95996" w:rsidP="00A95996">
            <w:pPr>
              <w:pStyle w:val="ListParagraph"/>
              <w:ind w:left="0"/>
              <w:jc w:val="both"/>
              <w:rPr>
                <w:rFonts w:ascii="Arial" w:hAnsi="Arial" w:cs="Arial"/>
                <w:sz w:val="18"/>
                <w:szCs w:val="18"/>
              </w:rPr>
            </w:pPr>
            <w:r>
              <w:rPr>
                <w:rFonts w:ascii="Arial" w:hAnsi="Arial" w:cs="Arial"/>
                <w:sz w:val="18"/>
                <w:szCs w:val="18"/>
              </w:rPr>
              <w:t>1 enunciado difirió en tres palabras o más (1.11%).</w:t>
            </w:r>
          </w:p>
        </w:tc>
      </w:tr>
      <w:tr w:rsidR="00113F0D" w14:paraId="6F40768E" w14:textId="77777777" w:rsidTr="00161DBE">
        <w:tc>
          <w:tcPr>
            <w:tcW w:w="4065" w:type="dxa"/>
            <w:gridSpan w:val="3"/>
          </w:tcPr>
          <w:p w14:paraId="4669531B" w14:textId="3E45549D" w:rsidR="00113F0D" w:rsidRPr="00EB3E7B" w:rsidRDefault="00113F0D" w:rsidP="00EB3E7B">
            <w:pPr>
              <w:pStyle w:val="ListParagraph"/>
              <w:ind w:left="0"/>
              <w:jc w:val="center"/>
              <w:rPr>
                <w:rFonts w:ascii="Arial" w:hAnsi="Arial" w:cs="Arial"/>
                <w:sz w:val="18"/>
                <w:szCs w:val="18"/>
              </w:rPr>
            </w:pPr>
            <w:r>
              <w:rPr>
                <w:rFonts w:ascii="Arial" w:hAnsi="Arial" w:cs="Arial"/>
                <w:b/>
                <w:bCs/>
                <w:sz w:val="18"/>
                <w:szCs w:val="18"/>
              </w:rPr>
              <w:t>Comparación de versiones experimentales VEC1 y VEC2</w:t>
            </w:r>
          </w:p>
        </w:tc>
        <w:tc>
          <w:tcPr>
            <w:tcW w:w="3709" w:type="dxa"/>
            <w:gridSpan w:val="3"/>
          </w:tcPr>
          <w:p w14:paraId="6BC13CA5" w14:textId="6C867CC4" w:rsidR="00113F0D" w:rsidRPr="00EB3E7B" w:rsidRDefault="00113F0D" w:rsidP="001656B2">
            <w:pPr>
              <w:pStyle w:val="ListParagraph"/>
              <w:keepNext/>
              <w:ind w:left="0"/>
              <w:jc w:val="both"/>
              <w:rPr>
                <w:rFonts w:ascii="Arial" w:hAnsi="Arial" w:cs="Arial"/>
                <w:sz w:val="18"/>
                <w:szCs w:val="18"/>
              </w:rPr>
            </w:pPr>
            <w:r>
              <w:rPr>
                <w:rFonts w:ascii="Arial" w:hAnsi="Arial" w:cs="Arial"/>
                <w:sz w:val="18"/>
                <w:szCs w:val="18"/>
              </w:rPr>
              <w:t>La segunda versión experimental (VEC2) se consideró más ajustada en términos lingüísticos.</w:t>
            </w:r>
          </w:p>
        </w:tc>
      </w:tr>
    </w:tbl>
    <w:p w14:paraId="4007A21F" w14:textId="4D3E4D13" w:rsidR="00EB3E7B" w:rsidRPr="001656B2" w:rsidRDefault="001656B2" w:rsidP="001656B2">
      <w:pPr>
        <w:pStyle w:val="Caption"/>
        <w:jc w:val="center"/>
        <w:rPr>
          <w:rFonts w:ascii="Arial" w:hAnsi="Arial" w:cs="Arial"/>
          <w:b/>
          <w:bCs/>
          <w:color w:val="auto"/>
          <w:sz w:val="24"/>
          <w:szCs w:val="24"/>
        </w:rPr>
      </w:pPr>
      <w:r w:rsidRPr="001656B2">
        <w:rPr>
          <w:b/>
          <w:bCs/>
          <w:color w:val="auto"/>
        </w:rPr>
        <w:t xml:space="preserve">Tabla </w:t>
      </w:r>
      <w:r w:rsidRPr="001656B2">
        <w:rPr>
          <w:b/>
          <w:bCs/>
          <w:color w:val="auto"/>
        </w:rPr>
        <w:fldChar w:fldCharType="begin"/>
      </w:r>
      <w:r w:rsidRPr="001656B2">
        <w:rPr>
          <w:b/>
          <w:bCs/>
          <w:color w:val="auto"/>
        </w:rPr>
        <w:instrText xml:space="preserve"> SEQ Tabla \* ARABIC </w:instrText>
      </w:r>
      <w:r w:rsidRPr="001656B2">
        <w:rPr>
          <w:b/>
          <w:bCs/>
          <w:color w:val="auto"/>
        </w:rPr>
        <w:fldChar w:fldCharType="separate"/>
      </w:r>
      <w:r w:rsidRPr="001656B2">
        <w:rPr>
          <w:b/>
          <w:bCs/>
          <w:noProof/>
          <w:color w:val="auto"/>
        </w:rPr>
        <w:t>1</w:t>
      </w:r>
      <w:r w:rsidRPr="001656B2">
        <w:rPr>
          <w:b/>
          <w:bCs/>
          <w:color w:val="auto"/>
        </w:rPr>
        <w:fldChar w:fldCharType="end"/>
      </w:r>
      <w:r w:rsidRPr="001656B2">
        <w:rPr>
          <w:b/>
          <w:bCs/>
          <w:color w:val="auto"/>
        </w:rPr>
        <w:t xml:space="preserve"> - Proceso de traducción y </w:t>
      </w:r>
      <w:proofErr w:type="spellStart"/>
      <w:r w:rsidRPr="001656B2">
        <w:rPr>
          <w:b/>
          <w:bCs/>
          <w:color w:val="auto"/>
        </w:rPr>
        <w:t>re-traducción</w:t>
      </w:r>
      <w:proofErr w:type="spellEnd"/>
      <w:r w:rsidRPr="001656B2">
        <w:rPr>
          <w:b/>
          <w:bCs/>
          <w:color w:val="auto"/>
        </w:rPr>
        <w:t xml:space="preserve"> del BDI-II</w:t>
      </w:r>
    </w:p>
    <w:p w14:paraId="51B576E8" w14:textId="18209877" w:rsidR="00EB3E7B" w:rsidRDefault="00EB3E7B" w:rsidP="00EB3E7B">
      <w:pPr>
        <w:pStyle w:val="ListParagraph"/>
        <w:jc w:val="center"/>
        <w:rPr>
          <w:rFonts w:ascii="Arial" w:hAnsi="Arial" w:cs="Arial"/>
          <w:sz w:val="24"/>
          <w:szCs w:val="24"/>
        </w:rPr>
      </w:pPr>
    </w:p>
    <w:p w14:paraId="3585BC49" w14:textId="7E63287A" w:rsidR="001656B2" w:rsidRDefault="001656B2" w:rsidP="001656B2">
      <w:pPr>
        <w:pStyle w:val="ListParagraph"/>
        <w:numPr>
          <w:ilvl w:val="0"/>
          <w:numId w:val="6"/>
        </w:numPr>
        <w:jc w:val="both"/>
        <w:rPr>
          <w:rFonts w:ascii="Arial" w:hAnsi="Arial" w:cs="Arial"/>
          <w:sz w:val="24"/>
          <w:szCs w:val="24"/>
        </w:rPr>
      </w:pPr>
      <w:r>
        <w:rPr>
          <w:rFonts w:ascii="Arial" w:hAnsi="Arial" w:cs="Arial"/>
          <w:sz w:val="24"/>
          <w:szCs w:val="24"/>
        </w:rPr>
        <w:t>Revisión especializada del contenido de las traducciones</w:t>
      </w:r>
      <w:r w:rsidR="001C55E2">
        <w:rPr>
          <w:rFonts w:ascii="Arial" w:hAnsi="Arial" w:cs="Arial"/>
          <w:sz w:val="24"/>
          <w:szCs w:val="24"/>
        </w:rPr>
        <w:t>: Las dos versiones experimentales castellanas obtenidas mediante el método recién descripto (VEC1 y VEC2) fueron analizadas por dos profesionales en clínica psicológica y psiquiátrica con experiencia en los criterios del DSM-IV para el diagnóstico de la depresión. El propósito fue revisar los enunciados traducidos del BDI-II</w:t>
      </w:r>
      <w:r w:rsidR="005A5B53">
        <w:rPr>
          <w:rFonts w:ascii="Arial" w:hAnsi="Arial" w:cs="Arial"/>
          <w:sz w:val="24"/>
          <w:szCs w:val="24"/>
        </w:rPr>
        <w:t xml:space="preserve">, sugerir cambios en caso de ser necesario y determinar qué versión reflejaba más claramente el significado psicológico de los términos empleados. </w:t>
      </w:r>
      <w:r w:rsidR="004972E4">
        <w:rPr>
          <w:rFonts w:ascii="Arial" w:hAnsi="Arial" w:cs="Arial"/>
          <w:sz w:val="24"/>
          <w:szCs w:val="24"/>
        </w:rPr>
        <w:t>Tanto en términos lingüísticos como psicológicos, la VEC2 resultó la más apropiada. Sobre la base de ésta se confeccionó la versión experimental del BDI-II que fue administrada a una muestra piloto.</w:t>
      </w:r>
    </w:p>
    <w:p w14:paraId="00EF1471" w14:textId="027E61F7" w:rsidR="001656B2" w:rsidRDefault="001656B2" w:rsidP="00EB3E7B">
      <w:pPr>
        <w:pStyle w:val="ListParagraph"/>
        <w:jc w:val="center"/>
        <w:rPr>
          <w:rFonts w:ascii="Arial" w:hAnsi="Arial" w:cs="Arial"/>
          <w:sz w:val="24"/>
          <w:szCs w:val="24"/>
        </w:rPr>
      </w:pPr>
    </w:p>
    <w:p w14:paraId="03031681" w14:textId="4AF4D4CA" w:rsidR="002365FD" w:rsidRDefault="002365FD" w:rsidP="002365FD">
      <w:pPr>
        <w:jc w:val="both"/>
        <w:rPr>
          <w:rFonts w:ascii="Arial" w:hAnsi="Arial" w:cs="Arial"/>
          <w:sz w:val="24"/>
          <w:szCs w:val="24"/>
        </w:rPr>
      </w:pPr>
      <w:r>
        <w:rPr>
          <w:rFonts w:ascii="Arial" w:hAnsi="Arial" w:cs="Arial"/>
          <w:sz w:val="24"/>
          <w:szCs w:val="24"/>
        </w:rPr>
        <w:t xml:space="preserve">Fase </w:t>
      </w:r>
      <w:r>
        <w:rPr>
          <w:rFonts w:ascii="Arial" w:hAnsi="Arial" w:cs="Arial"/>
          <w:sz w:val="24"/>
          <w:szCs w:val="24"/>
        </w:rPr>
        <w:t>2</w:t>
      </w:r>
      <w:r>
        <w:rPr>
          <w:rFonts w:ascii="Arial" w:hAnsi="Arial" w:cs="Arial"/>
          <w:sz w:val="24"/>
          <w:szCs w:val="24"/>
        </w:rPr>
        <w:t xml:space="preserve">: </w:t>
      </w:r>
      <w:r>
        <w:rPr>
          <w:rFonts w:ascii="Arial" w:hAnsi="Arial" w:cs="Arial"/>
          <w:sz w:val="24"/>
          <w:szCs w:val="24"/>
        </w:rPr>
        <w:t>Administración de la versión experimental del BDI-II en una muestra piloto</w:t>
      </w:r>
    </w:p>
    <w:p w14:paraId="4580E479" w14:textId="5BCE7EBA" w:rsidR="002365FD" w:rsidRDefault="00254B2C" w:rsidP="00254B2C">
      <w:pPr>
        <w:jc w:val="both"/>
        <w:rPr>
          <w:rFonts w:ascii="Arial" w:hAnsi="Arial" w:cs="Arial"/>
          <w:sz w:val="24"/>
          <w:szCs w:val="24"/>
        </w:rPr>
      </w:pPr>
      <w:r>
        <w:rPr>
          <w:rFonts w:ascii="Arial" w:hAnsi="Arial" w:cs="Arial"/>
          <w:sz w:val="24"/>
          <w:szCs w:val="24"/>
        </w:rPr>
        <w:t>La versión experimental del BDI-II fue administrada a una muestra piloto de 75 personas de población general, que accedieron voluntariamente a responder al inventario, a fin de evaluar la claridad de la consigna y los enunciados incluidos. Dado que se trató de un estudio piloto no se consideró necesario que fuese representativo. No obstante, se incluyeron proporciones parecidas de hombres y mujeres (N = 35 y N = 40, respectivamente) con niveles de estudio diversos (primario 16%, secundario 58% y terciario/universitario 26%) y cuyas edades oscilaron entre los 18 y 65 años.</w:t>
      </w:r>
    </w:p>
    <w:p w14:paraId="1BE0821C" w14:textId="736D9C7F" w:rsidR="001E70C4" w:rsidRDefault="001E70C4" w:rsidP="00254B2C">
      <w:pPr>
        <w:jc w:val="both"/>
        <w:rPr>
          <w:rFonts w:ascii="Arial" w:hAnsi="Arial" w:cs="Arial"/>
          <w:sz w:val="24"/>
          <w:szCs w:val="24"/>
        </w:rPr>
      </w:pPr>
      <w:r>
        <w:rPr>
          <w:rFonts w:ascii="Arial" w:hAnsi="Arial" w:cs="Arial"/>
          <w:sz w:val="24"/>
          <w:szCs w:val="24"/>
        </w:rPr>
        <w:lastRenderedPageBreak/>
        <w:t>El promedio en responder a la versión experimental del BDI-II era de 8 minutos, si bien cada uno de los enunciados fueron entendidos por las personas que realizaron la prueba</w:t>
      </w:r>
      <w:r w:rsidR="003D2B7C">
        <w:rPr>
          <w:rFonts w:ascii="Arial" w:hAnsi="Arial" w:cs="Arial"/>
          <w:sz w:val="24"/>
          <w:szCs w:val="24"/>
        </w:rPr>
        <w:t>, en alguno de los casos las personas solicitaron mayores precisiones para realizar la elección ya que consideraron que no habían opciones intermedias para hacerlo, en especial para los ítems 1 (Tristeza) y 12 (Pérdida de interés)</w:t>
      </w:r>
      <w:r w:rsidR="003A7080">
        <w:rPr>
          <w:rFonts w:ascii="Arial" w:hAnsi="Arial" w:cs="Arial"/>
          <w:sz w:val="24"/>
          <w:szCs w:val="24"/>
        </w:rPr>
        <w:t>.</w:t>
      </w:r>
    </w:p>
    <w:p w14:paraId="4F199A43" w14:textId="306BC6D1" w:rsidR="003A7080" w:rsidRDefault="003A7080" w:rsidP="00254B2C">
      <w:pPr>
        <w:jc w:val="both"/>
        <w:rPr>
          <w:rFonts w:ascii="Arial" w:hAnsi="Arial" w:cs="Arial"/>
          <w:sz w:val="24"/>
          <w:szCs w:val="24"/>
        </w:rPr>
      </w:pPr>
      <w:r>
        <w:rPr>
          <w:rFonts w:ascii="Arial" w:hAnsi="Arial" w:cs="Arial"/>
          <w:sz w:val="24"/>
          <w:szCs w:val="24"/>
        </w:rPr>
        <w:t xml:space="preserve">En el </w:t>
      </w:r>
      <w:r>
        <w:rPr>
          <w:rFonts w:ascii="Arial" w:hAnsi="Arial" w:cs="Arial"/>
          <w:i/>
          <w:iCs/>
          <w:sz w:val="24"/>
          <w:szCs w:val="24"/>
        </w:rPr>
        <w:t>Inventario de Depresión de Beck-II</w:t>
      </w:r>
      <w:r>
        <w:rPr>
          <w:rFonts w:ascii="Arial" w:hAnsi="Arial" w:cs="Arial"/>
          <w:sz w:val="24"/>
          <w:szCs w:val="24"/>
        </w:rPr>
        <w:t xml:space="preserve"> cada grupo de enunciados va precedido de un título informativo acerca de lo que se está evaluando (por ejemplo, Tristeza, Pesimismo, Fracaso, etc.). Para estudiar posibles sesgos de respuestas se administraron a un grupo de 254 sujetos dos versiones del BDI-II: una primer aversión con títulos y otra segunda sin títulos. Los resultados indicaron que existieron diferencias de medidas significativas en la respuesta a una u otra versión.</w:t>
      </w:r>
    </w:p>
    <w:p w14:paraId="31B71F33" w14:textId="0070AA9C" w:rsidR="002514BC" w:rsidRDefault="002514BC" w:rsidP="002514BC">
      <w:pPr>
        <w:jc w:val="center"/>
        <w:rPr>
          <w:rFonts w:ascii="Arial" w:hAnsi="Arial" w:cs="Arial"/>
          <w:sz w:val="24"/>
          <w:szCs w:val="24"/>
        </w:rPr>
      </w:pPr>
      <w:commentRangeStart w:id="0"/>
      <w:r>
        <w:rPr>
          <w:rFonts w:ascii="Arial" w:hAnsi="Arial" w:cs="Arial"/>
          <w:sz w:val="24"/>
          <w:szCs w:val="24"/>
        </w:rPr>
        <w:t>Inventario</w:t>
      </w:r>
      <w:commentRangeEnd w:id="0"/>
      <w:r w:rsidR="00B37008">
        <w:rPr>
          <w:rStyle w:val="CommentReference"/>
        </w:rPr>
        <w:commentReference w:id="0"/>
      </w:r>
      <w:r>
        <w:rPr>
          <w:rFonts w:ascii="Arial" w:hAnsi="Arial" w:cs="Arial"/>
          <w:sz w:val="24"/>
          <w:szCs w:val="24"/>
        </w:rPr>
        <w:t xml:space="preserve"> de Depresión de Beck: Su validez en población adolescente </w:t>
      </w:r>
      <w:sdt>
        <w:sdtPr>
          <w:rPr>
            <w:rFonts w:ascii="Arial" w:hAnsi="Arial" w:cs="Arial"/>
            <w:sz w:val="24"/>
            <w:szCs w:val="24"/>
          </w:rPr>
          <w:id w:val="-1443457098"/>
          <w:citation/>
        </w:sdtPr>
        <w:sdtContent>
          <w:r>
            <w:rPr>
              <w:rFonts w:ascii="Arial" w:hAnsi="Arial" w:cs="Arial"/>
              <w:sz w:val="24"/>
              <w:szCs w:val="24"/>
            </w:rPr>
            <w:fldChar w:fldCharType="begin"/>
          </w:r>
          <w:r>
            <w:rPr>
              <w:rFonts w:ascii="Arial" w:hAnsi="Arial" w:cs="Arial"/>
              <w:sz w:val="24"/>
              <w:szCs w:val="24"/>
              <w:lang w:val="es-MX"/>
            </w:rPr>
            <w:instrText xml:space="preserve"> CITATION Soc12 \l 2058 </w:instrText>
          </w:r>
          <w:r>
            <w:rPr>
              <w:rFonts w:ascii="Arial" w:hAnsi="Arial" w:cs="Arial"/>
              <w:sz w:val="24"/>
              <w:szCs w:val="24"/>
            </w:rPr>
            <w:fldChar w:fldCharType="separate"/>
          </w:r>
          <w:r w:rsidR="00591BD6" w:rsidRPr="00591BD6">
            <w:rPr>
              <w:rFonts w:ascii="Arial" w:hAnsi="Arial" w:cs="Arial"/>
              <w:noProof/>
              <w:sz w:val="24"/>
              <w:szCs w:val="24"/>
              <w:lang w:val="es-MX"/>
            </w:rPr>
            <w:t>(Clínica, 2012)</w:t>
          </w:r>
          <w:r>
            <w:rPr>
              <w:rFonts w:ascii="Arial" w:hAnsi="Arial" w:cs="Arial"/>
              <w:sz w:val="24"/>
              <w:szCs w:val="24"/>
            </w:rPr>
            <w:fldChar w:fldCharType="end"/>
          </w:r>
        </w:sdtContent>
      </w:sdt>
    </w:p>
    <w:tbl>
      <w:tblPr>
        <w:tblStyle w:val="GridTable4"/>
        <w:tblW w:w="0" w:type="auto"/>
        <w:tblLook w:val="04A0" w:firstRow="1" w:lastRow="0" w:firstColumn="1" w:lastColumn="0" w:noHBand="0" w:noVBand="1"/>
      </w:tblPr>
      <w:tblGrid>
        <w:gridCol w:w="1762"/>
        <w:gridCol w:w="1467"/>
        <w:gridCol w:w="1467"/>
        <w:gridCol w:w="1568"/>
        <w:gridCol w:w="1384"/>
        <w:gridCol w:w="846"/>
      </w:tblGrid>
      <w:tr w:rsidR="00554855" w14:paraId="371EE726" w14:textId="72C7CA4F" w:rsidTr="00554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4A5B3856" w14:textId="62FD74DF" w:rsidR="00554855" w:rsidRPr="002514BC" w:rsidRDefault="00554855" w:rsidP="002514BC">
            <w:pPr>
              <w:jc w:val="center"/>
              <w:rPr>
                <w:rFonts w:ascii="Arial" w:hAnsi="Arial" w:cs="Arial"/>
                <w:sz w:val="20"/>
                <w:szCs w:val="20"/>
              </w:rPr>
            </w:pPr>
            <w:r w:rsidRPr="002514BC">
              <w:rPr>
                <w:rFonts w:ascii="Arial" w:hAnsi="Arial" w:cs="Arial"/>
                <w:sz w:val="20"/>
                <w:szCs w:val="20"/>
              </w:rPr>
              <w:t>Ítem</w:t>
            </w:r>
          </w:p>
        </w:tc>
        <w:tc>
          <w:tcPr>
            <w:tcW w:w="1467" w:type="dxa"/>
          </w:tcPr>
          <w:p w14:paraId="288D0C9E" w14:textId="273347A8" w:rsidR="00554855" w:rsidRPr="002514BC" w:rsidRDefault="00554855" w:rsidP="002514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1467" w:type="dxa"/>
          </w:tcPr>
          <w:p w14:paraId="4629C6EA" w14:textId="6715B268" w:rsidR="00554855" w:rsidRPr="002514BC" w:rsidRDefault="00554855" w:rsidP="002514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w:t>
            </w:r>
          </w:p>
        </w:tc>
        <w:tc>
          <w:tcPr>
            <w:tcW w:w="1568" w:type="dxa"/>
          </w:tcPr>
          <w:p w14:paraId="4BC0DDB7" w14:textId="1BB113F8" w:rsidR="00554855" w:rsidRPr="002514BC" w:rsidRDefault="00554855" w:rsidP="002514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Comunalidad</w:t>
            </w:r>
          </w:p>
        </w:tc>
        <w:tc>
          <w:tcPr>
            <w:tcW w:w="1384" w:type="dxa"/>
          </w:tcPr>
          <w:p w14:paraId="4106A619" w14:textId="685D60FD" w:rsidR="00554855" w:rsidRPr="002514BC" w:rsidRDefault="00554855" w:rsidP="002514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Modelo</w:t>
            </w:r>
          </w:p>
        </w:tc>
        <w:tc>
          <w:tcPr>
            <w:tcW w:w="846" w:type="dxa"/>
          </w:tcPr>
          <w:p w14:paraId="75A92F3C" w14:textId="189B1187" w:rsidR="00554855" w:rsidRDefault="00554855" w:rsidP="002514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EE</w:t>
            </w:r>
          </w:p>
        </w:tc>
      </w:tr>
      <w:tr w:rsidR="00554855" w14:paraId="1ACA6131" w14:textId="7685F86B"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8" w:type="dxa"/>
            <w:gridSpan w:val="5"/>
          </w:tcPr>
          <w:p w14:paraId="7B5F86FC" w14:textId="358A5F84" w:rsidR="00554855" w:rsidRPr="002514BC" w:rsidRDefault="00554855" w:rsidP="00554855">
            <w:pPr>
              <w:jc w:val="center"/>
              <w:rPr>
                <w:rFonts w:ascii="Arial" w:hAnsi="Arial" w:cs="Arial"/>
                <w:sz w:val="20"/>
                <w:szCs w:val="20"/>
              </w:rPr>
            </w:pPr>
            <w:r>
              <w:rPr>
                <w:rFonts w:ascii="Arial" w:hAnsi="Arial" w:cs="Arial"/>
                <w:sz w:val="20"/>
                <w:szCs w:val="20"/>
              </w:rPr>
              <w:t>FACTORES COGNITIVO-AFECTIVO</w:t>
            </w:r>
          </w:p>
        </w:tc>
        <w:tc>
          <w:tcPr>
            <w:tcW w:w="846" w:type="dxa"/>
          </w:tcPr>
          <w:p w14:paraId="0C98292B" w14:textId="77777777" w:rsidR="00554855" w:rsidRDefault="00554855" w:rsidP="00075BF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54855" w14:paraId="09556365" w14:textId="447019AF" w:rsidTr="00554855">
        <w:tc>
          <w:tcPr>
            <w:cnfStyle w:val="001000000000" w:firstRow="0" w:lastRow="0" w:firstColumn="1" w:lastColumn="0" w:oddVBand="0" w:evenVBand="0" w:oddHBand="0" w:evenHBand="0" w:firstRowFirstColumn="0" w:firstRowLastColumn="0" w:lastRowFirstColumn="0" w:lastRowLastColumn="0"/>
            <w:tcW w:w="1762" w:type="dxa"/>
          </w:tcPr>
          <w:p w14:paraId="73DE9F6F" w14:textId="1B78486B" w:rsidR="00554855" w:rsidRPr="002514BC" w:rsidRDefault="00554855" w:rsidP="00554855">
            <w:pPr>
              <w:jc w:val="both"/>
              <w:rPr>
                <w:rFonts w:ascii="Arial" w:hAnsi="Arial" w:cs="Arial"/>
                <w:sz w:val="20"/>
                <w:szCs w:val="20"/>
              </w:rPr>
            </w:pPr>
            <w:r w:rsidRPr="002514BC">
              <w:rPr>
                <w:rFonts w:ascii="Arial" w:hAnsi="Arial" w:cs="Arial"/>
                <w:sz w:val="20"/>
                <w:szCs w:val="20"/>
              </w:rPr>
              <w:t>Tristeza</w:t>
            </w:r>
          </w:p>
        </w:tc>
        <w:tc>
          <w:tcPr>
            <w:tcW w:w="1467" w:type="dxa"/>
          </w:tcPr>
          <w:p w14:paraId="3E975378" w14:textId="4EAE2CE7" w:rsidR="00554855" w:rsidRPr="002514BC"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0.80</w:t>
            </w:r>
          </w:p>
        </w:tc>
        <w:tc>
          <w:tcPr>
            <w:tcW w:w="1467" w:type="dxa"/>
          </w:tcPr>
          <w:p w14:paraId="4E69FD08" w14:textId="13BE8685" w:rsidR="00554855" w:rsidRPr="002514BC"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0.93</w:t>
            </w:r>
          </w:p>
        </w:tc>
        <w:tc>
          <w:tcPr>
            <w:tcW w:w="1568" w:type="dxa"/>
          </w:tcPr>
          <w:p w14:paraId="531CFEF6" w14:textId="4B7A6155" w:rsidR="00554855" w:rsidRPr="002514BC"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.54</w:t>
            </w:r>
          </w:p>
        </w:tc>
        <w:tc>
          <w:tcPr>
            <w:tcW w:w="1384" w:type="dxa"/>
          </w:tcPr>
          <w:p w14:paraId="1A6E0227" w14:textId="3631E880" w:rsidR="00554855" w:rsidRPr="002514BC"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.68</w:t>
            </w:r>
          </w:p>
        </w:tc>
        <w:tc>
          <w:tcPr>
            <w:tcW w:w="846" w:type="dxa"/>
          </w:tcPr>
          <w:p w14:paraId="1B9617DB" w14:textId="3944AF58" w:rsidR="00554855" w:rsidRPr="00B37008"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23575580" w14:textId="681DF8C2"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37965D05" w14:textId="6706EF1C" w:rsidR="00554855" w:rsidRPr="002514BC" w:rsidRDefault="00554855" w:rsidP="00554855">
            <w:pPr>
              <w:jc w:val="both"/>
              <w:rPr>
                <w:rFonts w:ascii="Arial" w:hAnsi="Arial" w:cs="Arial"/>
                <w:sz w:val="20"/>
                <w:szCs w:val="20"/>
              </w:rPr>
            </w:pPr>
            <w:r w:rsidRPr="002514BC">
              <w:rPr>
                <w:rFonts w:ascii="Arial" w:hAnsi="Arial" w:cs="Arial"/>
                <w:sz w:val="20"/>
                <w:szCs w:val="20"/>
              </w:rPr>
              <w:t>Pesimismo</w:t>
            </w:r>
          </w:p>
        </w:tc>
        <w:tc>
          <w:tcPr>
            <w:tcW w:w="1467" w:type="dxa"/>
          </w:tcPr>
          <w:p w14:paraId="1E7B55D8" w14:textId="387BA55C"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0.91</w:t>
            </w:r>
          </w:p>
        </w:tc>
        <w:tc>
          <w:tcPr>
            <w:tcW w:w="1467" w:type="dxa"/>
          </w:tcPr>
          <w:p w14:paraId="7C990ED0" w14:textId="67DF820D"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w:t>
            </w:r>
          </w:p>
        </w:tc>
        <w:tc>
          <w:tcPr>
            <w:tcW w:w="1568" w:type="dxa"/>
          </w:tcPr>
          <w:p w14:paraId="16DA4F7B" w14:textId="28176CA8"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.55</w:t>
            </w:r>
          </w:p>
        </w:tc>
        <w:tc>
          <w:tcPr>
            <w:tcW w:w="1384" w:type="dxa"/>
          </w:tcPr>
          <w:p w14:paraId="5027D65C" w14:textId="26989F83"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.74</w:t>
            </w:r>
          </w:p>
        </w:tc>
        <w:tc>
          <w:tcPr>
            <w:tcW w:w="846" w:type="dxa"/>
          </w:tcPr>
          <w:p w14:paraId="60DD2043" w14:textId="1AD1FF41" w:rsidR="00554855" w:rsidRPr="006E16FB"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0.06</w:t>
            </w:r>
          </w:p>
        </w:tc>
      </w:tr>
      <w:tr w:rsidR="00554855" w14:paraId="0E771F8B" w14:textId="1E2B98DD" w:rsidTr="00554855">
        <w:tc>
          <w:tcPr>
            <w:cnfStyle w:val="001000000000" w:firstRow="0" w:lastRow="0" w:firstColumn="1" w:lastColumn="0" w:oddVBand="0" w:evenVBand="0" w:oddHBand="0" w:evenHBand="0" w:firstRowFirstColumn="0" w:firstRowLastColumn="0" w:lastRowFirstColumn="0" w:lastRowLastColumn="0"/>
            <w:tcW w:w="1762" w:type="dxa"/>
          </w:tcPr>
          <w:p w14:paraId="6877CD50" w14:textId="1964C8CB" w:rsidR="00554855" w:rsidRPr="002514BC" w:rsidRDefault="00554855" w:rsidP="00554855">
            <w:pPr>
              <w:jc w:val="both"/>
              <w:rPr>
                <w:rFonts w:ascii="Arial" w:hAnsi="Arial" w:cs="Arial"/>
                <w:sz w:val="20"/>
                <w:szCs w:val="20"/>
              </w:rPr>
            </w:pPr>
            <w:r w:rsidRPr="002514BC">
              <w:rPr>
                <w:rFonts w:ascii="Arial" w:hAnsi="Arial" w:cs="Arial"/>
                <w:sz w:val="20"/>
                <w:szCs w:val="20"/>
              </w:rPr>
              <w:t>Sensación de fracaso</w:t>
            </w:r>
          </w:p>
        </w:tc>
        <w:tc>
          <w:tcPr>
            <w:tcW w:w="1467" w:type="dxa"/>
          </w:tcPr>
          <w:p w14:paraId="570C70A5" w14:textId="7ACFA844"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0.92</w:t>
            </w:r>
          </w:p>
        </w:tc>
        <w:tc>
          <w:tcPr>
            <w:tcW w:w="1467" w:type="dxa"/>
          </w:tcPr>
          <w:p w14:paraId="134A4A14" w14:textId="5193602E"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1.06</w:t>
            </w:r>
          </w:p>
        </w:tc>
        <w:tc>
          <w:tcPr>
            <w:tcW w:w="1568" w:type="dxa"/>
          </w:tcPr>
          <w:p w14:paraId="24089677" w14:textId="103A1114"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.62</w:t>
            </w:r>
          </w:p>
        </w:tc>
        <w:tc>
          <w:tcPr>
            <w:tcW w:w="1384" w:type="dxa"/>
          </w:tcPr>
          <w:p w14:paraId="78812BB8" w14:textId="22AF7A6D"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.75</w:t>
            </w:r>
          </w:p>
        </w:tc>
        <w:tc>
          <w:tcPr>
            <w:tcW w:w="846" w:type="dxa"/>
          </w:tcPr>
          <w:p w14:paraId="099406B1" w14:textId="15E031BD" w:rsidR="00554855" w:rsidRPr="004A7649"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3D574544" w14:textId="0ED174D1"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0B01C7FA" w14:textId="08A3AA22" w:rsidR="00554855" w:rsidRPr="002514BC" w:rsidRDefault="00554855" w:rsidP="00554855">
            <w:pPr>
              <w:jc w:val="both"/>
              <w:rPr>
                <w:rFonts w:ascii="Arial" w:hAnsi="Arial" w:cs="Arial"/>
                <w:sz w:val="20"/>
                <w:szCs w:val="20"/>
              </w:rPr>
            </w:pPr>
            <w:r>
              <w:rPr>
                <w:rFonts w:ascii="Arial" w:hAnsi="Arial" w:cs="Arial"/>
                <w:sz w:val="20"/>
                <w:szCs w:val="20"/>
              </w:rPr>
              <w:t>Insatisfacción</w:t>
            </w:r>
          </w:p>
        </w:tc>
        <w:tc>
          <w:tcPr>
            <w:tcW w:w="1467" w:type="dxa"/>
          </w:tcPr>
          <w:p w14:paraId="5E61894D" w14:textId="3B494121"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1.09</w:t>
            </w:r>
          </w:p>
        </w:tc>
        <w:tc>
          <w:tcPr>
            <w:tcW w:w="1467" w:type="dxa"/>
          </w:tcPr>
          <w:p w14:paraId="5EDD33C0" w14:textId="4BB651D3"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w:t>
            </w:r>
          </w:p>
        </w:tc>
        <w:tc>
          <w:tcPr>
            <w:tcW w:w="1568" w:type="dxa"/>
          </w:tcPr>
          <w:p w14:paraId="6717325A" w14:textId="2B392811"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.40</w:t>
            </w:r>
          </w:p>
        </w:tc>
        <w:tc>
          <w:tcPr>
            <w:tcW w:w="1384" w:type="dxa"/>
          </w:tcPr>
          <w:p w14:paraId="7FF38C38" w14:textId="0C21074B"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.62</w:t>
            </w:r>
          </w:p>
        </w:tc>
        <w:tc>
          <w:tcPr>
            <w:tcW w:w="846" w:type="dxa"/>
          </w:tcPr>
          <w:p w14:paraId="147B3877" w14:textId="3B84EE3C"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6FB44F59" w14:textId="5631EC18" w:rsidTr="00554855">
        <w:tc>
          <w:tcPr>
            <w:cnfStyle w:val="001000000000" w:firstRow="0" w:lastRow="0" w:firstColumn="1" w:lastColumn="0" w:oddVBand="0" w:evenVBand="0" w:oddHBand="0" w:evenHBand="0" w:firstRowFirstColumn="0" w:firstRowLastColumn="0" w:lastRowFirstColumn="0" w:lastRowLastColumn="0"/>
            <w:tcW w:w="1762" w:type="dxa"/>
          </w:tcPr>
          <w:p w14:paraId="58092488" w14:textId="20438DFA" w:rsidR="00554855" w:rsidRPr="002514BC" w:rsidRDefault="00554855" w:rsidP="00554855">
            <w:pPr>
              <w:jc w:val="both"/>
              <w:rPr>
                <w:rFonts w:ascii="Arial" w:hAnsi="Arial" w:cs="Arial"/>
                <w:sz w:val="20"/>
                <w:szCs w:val="20"/>
              </w:rPr>
            </w:pPr>
            <w:r>
              <w:rPr>
                <w:rFonts w:ascii="Arial" w:hAnsi="Arial" w:cs="Arial"/>
                <w:sz w:val="20"/>
                <w:szCs w:val="20"/>
              </w:rPr>
              <w:t>Culpa</w:t>
            </w:r>
          </w:p>
        </w:tc>
        <w:tc>
          <w:tcPr>
            <w:tcW w:w="1467" w:type="dxa"/>
          </w:tcPr>
          <w:p w14:paraId="71CB65A5" w14:textId="0B36A762"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0.95</w:t>
            </w:r>
          </w:p>
        </w:tc>
        <w:tc>
          <w:tcPr>
            <w:tcW w:w="1467" w:type="dxa"/>
          </w:tcPr>
          <w:p w14:paraId="23076EE4" w14:textId="682CFB0F"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0.89</w:t>
            </w:r>
          </w:p>
        </w:tc>
        <w:tc>
          <w:tcPr>
            <w:tcW w:w="1568" w:type="dxa"/>
          </w:tcPr>
          <w:p w14:paraId="6F35F5B8" w14:textId="769056C1"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.42</w:t>
            </w:r>
          </w:p>
        </w:tc>
        <w:tc>
          <w:tcPr>
            <w:tcW w:w="1384" w:type="dxa"/>
          </w:tcPr>
          <w:p w14:paraId="04208C55" w14:textId="41F42445"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.60</w:t>
            </w:r>
          </w:p>
        </w:tc>
        <w:tc>
          <w:tcPr>
            <w:tcW w:w="846" w:type="dxa"/>
          </w:tcPr>
          <w:p w14:paraId="543B3DC4" w14:textId="0B63631F"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0D8B7241" w14:textId="7FBD7B5D"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73550B8E" w14:textId="3E3B1692" w:rsidR="00554855" w:rsidRPr="002514BC" w:rsidRDefault="00554855" w:rsidP="00554855">
            <w:pPr>
              <w:jc w:val="both"/>
              <w:rPr>
                <w:rFonts w:ascii="Arial" w:hAnsi="Arial" w:cs="Arial"/>
                <w:sz w:val="20"/>
                <w:szCs w:val="20"/>
              </w:rPr>
            </w:pPr>
            <w:r>
              <w:rPr>
                <w:rFonts w:ascii="Arial" w:hAnsi="Arial" w:cs="Arial"/>
                <w:sz w:val="20"/>
                <w:szCs w:val="20"/>
              </w:rPr>
              <w:t>Expectativas de castigo</w:t>
            </w:r>
          </w:p>
        </w:tc>
        <w:tc>
          <w:tcPr>
            <w:tcW w:w="1467" w:type="dxa"/>
          </w:tcPr>
          <w:p w14:paraId="20A93B1A" w14:textId="6CA6C7A2"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0.99</w:t>
            </w:r>
          </w:p>
        </w:tc>
        <w:tc>
          <w:tcPr>
            <w:tcW w:w="1467" w:type="dxa"/>
          </w:tcPr>
          <w:p w14:paraId="174D194F" w14:textId="219BF4A2"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1.16</w:t>
            </w:r>
          </w:p>
        </w:tc>
        <w:tc>
          <w:tcPr>
            <w:tcW w:w="1568" w:type="dxa"/>
          </w:tcPr>
          <w:p w14:paraId="03D09C68" w14:textId="61E7F24D"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.38</w:t>
            </w:r>
          </w:p>
        </w:tc>
        <w:tc>
          <w:tcPr>
            <w:tcW w:w="1384" w:type="dxa"/>
          </w:tcPr>
          <w:p w14:paraId="750CF7CD" w14:textId="072D56ED"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.58</w:t>
            </w:r>
          </w:p>
        </w:tc>
        <w:tc>
          <w:tcPr>
            <w:tcW w:w="846" w:type="dxa"/>
          </w:tcPr>
          <w:p w14:paraId="2332A5F5" w14:textId="1941A753"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0.06</w:t>
            </w:r>
          </w:p>
        </w:tc>
      </w:tr>
      <w:tr w:rsidR="00554855" w14:paraId="0D0B0B19" w14:textId="6915758D" w:rsidTr="00554855">
        <w:tc>
          <w:tcPr>
            <w:cnfStyle w:val="001000000000" w:firstRow="0" w:lastRow="0" w:firstColumn="1" w:lastColumn="0" w:oddVBand="0" w:evenVBand="0" w:oddHBand="0" w:evenHBand="0" w:firstRowFirstColumn="0" w:firstRowLastColumn="0" w:lastRowFirstColumn="0" w:lastRowLastColumn="0"/>
            <w:tcW w:w="1762" w:type="dxa"/>
          </w:tcPr>
          <w:p w14:paraId="39AAE7FA" w14:textId="303A4B97" w:rsidR="00554855" w:rsidRPr="002514BC" w:rsidRDefault="00554855" w:rsidP="00554855">
            <w:pPr>
              <w:jc w:val="both"/>
              <w:rPr>
                <w:rFonts w:ascii="Arial" w:hAnsi="Arial" w:cs="Arial"/>
                <w:sz w:val="20"/>
                <w:szCs w:val="20"/>
              </w:rPr>
            </w:pPr>
            <w:r>
              <w:rPr>
                <w:rFonts w:ascii="Arial" w:hAnsi="Arial" w:cs="Arial"/>
                <w:sz w:val="20"/>
                <w:szCs w:val="20"/>
              </w:rPr>
              <w:t>Autodesprecio</w:t>
            </w:r>
          </w:p>
        </w:tc>
        <w:tc>
          <w:tcPr>
            <w:tcW w:w="1467" w:type="dxa"/>
          </w:tcPr>
          <w:p w14:paraId="6C923CC8" w14:textId="3FDDBA34"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0.92</w:t>
            </w:r>
          </w:p>
        </w:tc>
        <w:tc>
          <w:tcPr>
            <w:tcW w:w="1467" w:type="dxa"/>
          </w:tcPr>
          <w:p w14:paraId="4132B220" w14:textId="4614D83D"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w:t>
            </w:r>
          </w:p>
        </w:tc>
        <w:tc>
          <w:tcPr>
            <w:tcW w:w="1568" w:type="dxa"/>
          </w:tcPr>
          <w:p w14:paraId="50E85E00" w14:textId="1D6DAE38"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.62</w:t>
            </w:r>
          </w:p>
        </w:tc>
        <w:tc>
          <w:tcPr>
            <w:tcW w:w="1384" w:type="dxa"/>
          </w:tcPr>
          <w:p w14:paraId="7D6B00CF" w14:textId="6D2EC471"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.71</w:t>
            </w:r>
          </w:p>
        </w:tc>
        <w:tc>
          <w:tcPr>
            <w:tcW w:w="846" w:type="dxa"/>
          </w:tcPr>
          <w:p w14:paraId="774BA259" w14:textId="6DAD276B"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103B9840" w14:textId="2BA02167"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7BB58855" w14:textId="0C8B6913" w:rsidR="00554855" w:rsidRPr="002514BC" w:rsidRDefault="00554855" w:rsidP="00554855">
            <w:pPr>
              <w:jc w:val="both"/>
              <w:rPr>
                <w:rFonts w:ascii="Arial" w:hAnsi="Arial" w:cs="Arial"/>
                <w:sz w:val="20"/>
                <w:szCs w:val="20"/>
              </w:rPr>
            </w:pPr>
            <w:r>
              <w:rPr>
                <w:rFonts w:ascii="Arial" w:hAnsi="Arial" w:cs="Arial"/>
                <w:sz w:val="20"/>
                <w:szCs w:val="20"/>
              </w:rPr>
              <w:t>Autoacusación</w:t>
            </w:r>
          </w:p>
        </w:tc>
        <w:tc>
          <w:tcPr>
            <w:tcW w:w="1467" w:type="dxa"/>
          </w:tcPr>
          <w:p w14:paraId="7E3C254D" w14:textId="042ED981"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0.91</w:t>
            </w:r>
          </w:p>
        </w:tc>
        <w:tc>
          <w:tcPr>
            <w:tcW w:w="1467" w:type="dxa"/>
          </w:tcPr>
          <w:p w14:paraId="64700810" w14:textId="46B9E6E0"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0.95</w:t>
            </w:r>
          </w:p>
        </w:tc>
        <w:tc>
          <w:tcPr>
            <w:tcW w:w="1568" w:type="dxa"/>
          </w:tcPr>
          <w:p w14:paraId="38F228DA" w14:textId="46E5C2A8"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.50</w:t>
            </w:r>
          </w:p>
        </w:tc>
        <w:tc>
          <w:tcPr>
            <w:tcW w:w="1384" w:type="dxa"/>
          </w:tcPr>
          <w:p w14:paraId="3D160145" w14:textId="439A4320"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.68</w:t>
            </w:r>
          </w:p>
        </w:tc>
        <w:tc>
          <w:tcPr>
            <w:tcW w:w="846" w:type="dxa"/>
          </w:tcPr>
          <w:p w14:paraId="392E23A4" w14:textId="57B2A44D"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17A7F938" w14:textId="3A1A1F66" w:rsidTr="00554855">
        <w:tc>
          <w:tcPr>
            <w:cnfStyle w:val="001000000000" w:firstRow="0" w:lastRow="0" w:firstColumn="1" w:lastColumn="0" w:oddVBand="0" w:evenVBand="0" w:oddHBand="0" w:evenHBand="0" w:firstRowFirstColumn="0" w:firstRowLastColumn="0" w:lastRowFirstColumn="0" w:lastRowLastColumn="0"/>
            <w:tcW w:w="1762" w:type="dxa"/>
          </w:tcPr>
          <w:p w14:paraId="594C7D1B" w14:textId="0E0C4857" w:rsidR="00554855" w:rsidRPr="002514BC" w:rsidRDefault="00554855" w:rsidP="00554855">
            <w:pPr>
              <w:jc w:val="both"/>
              <w:rPr>
                <w:rFonts w:ascii="Arial" w:hAnsi="Arial" w:cs="Arial"/>
                <w:sz w:val="20"/>
                <w:szCs w:val="20"/>
              </w:rPr>
            </w:pPr>
            <w:r>
              <w:rPr>
                <w:rFonts w:ascii="Arial" w:hAnsi="Arial" w:cs="Arial"/>
                <w:sz w:val="20"/>
                <w:szCs w:val="20"/>
              </w:rPr>
              <w:t>Ideas suicidas</w:t>
            </w:r>
          </w:p>
        </w:tc>
        <w:tc>
          <w:tcPr>
            <w:tcW w:w="1467" w:type="dxa"/>
          </w:tcPr>
          <w:p w14:paraId="666854F1" w14:textId="50D682A6"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0.65</w:t>
            </w:r>
          </w:p>
        </w:tc>
        <w:tc>
          <w:tcPr>
            <w:tcW w:w="1467" w:type="dxa"/>
          </w:tcPr>
          <w:p w14:paraId="4B8F7D1D" w14:textId="55D2CCC8"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0.83</w:t>
            </w:r>
          </w:p>
        </w:tc>
        <w:tc>
          <w:tcPr>
            <w:tcW w:w="1568" w:type="dxa"/>
          </w:tcPr>
          <w:p w14:paraId="5ABF9A06" w14:textId="0B9A4740"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.43</w:t>
            </w:r>
          </w:p>
        </w:tc>
        <w:tc>
          <w:tcPr>
            <w:tcW w:w="1384" w:type="dxa"/>
          </w:tcPr>
          <w:p w14:paraId="0384C5E1" w14:textId="44812A74"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.53</w:t>
            </w:r>
          </w:p>
        </w:tc>
        <w:tc>
          <w:tcPr>
            <w:tcW w:w="846" w:type="dxa"/>
          </w:tcPr>
          <w:p w14:paraId="17335736" w14:textId="4872622E"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0.04</w:t>
            </w:r>
          </w:p>
        </w:tc>
      </w:tr>
      <w:tr w:rsidR="00554855" w14:paraId="197F3350" w14:textId="27A56D37"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2210A0D4" w14:textId="35AFE900" w:rsidR="00554855" w:rsidRPr="002514BC" w:rsidRDefault="00554855" w:rsidP="00554855">
            <w:pPr>
              <w:jc w:val="both"/>
              <w:rPr>
                <w:rFonts w:ascii="Arial" w:hAnsi="Arial" w:cs="Arial"/>
                <w:sz w:val="20"/>
                <w:szCs w:val="20"/>
              </w:rPr>
            </w:pPr>
            <w:r>
              <w:rPr>
                <w:rFonts w:ascii="Arial" w:hAnsi="Arial" w:cs="Arial"/>
                <w:sz w:val="20"/>
                <w:szCs w:val="20"/>
              </w:rPr>
              <w:t>Episodios de llanto</w:t>
            </w:r>
          </w:p>
        </w:tc>
        <w:tc>
          <w:tcPr>
            <w:tcW w:w="1467" w:type="dxa"/>
          </w:tcPr>
          <w:p w14:paraId="72F6A36E" w14:textId="6CE114E3" w:rsidR="00554855" w:rsidRPr="002514BC" w:rsidRDefault="00CB0FD9"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0.96</w:t>
            </w:r>
          </w:p>
        </w:tc>
        <w:tc>
          <w:tcPr>
            <w:tcW w:w="1467" w:type="dxa"/>
          </w:tcPr>
          <w:p w14:paraId="7AE8988F" w14:textId="3ECBCFB0" w:rsidR="00554855" w:rsidRPr="002514BC" w:rsidRDefault="00CB0FD9"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1.08</w:t>
            </w:r>
          </w:p>
        </w:tc>
        <w:tc>
          <w:tcPr>
            <w:tcW w:w="1568" w:type="dxa"/>
          </w:tcPr>
          <w:p w14:paraId="4831B1D7" w14:textId="460840B3" w:rsidR="00554855" w:rsidRPr="002514BC" w:rsidRDefault="00CB0FD9"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.38</w:t>
            </w:r>
          </w:p>
        </w:tc>
        <w:tc>
          <w:tcPr>
            <w:tcW w:w="1384" w:type="dxa"/>
          </w:tcPr>
          <w:p w14:paraId="358063BE" w14:textId="1117AB52" w:rsidR="00554855" w:rsidRPr="002514BC" w:rsidRDefault="00CB0FD9"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.50</w:t>
            </w:r>
          </w:p>
        </w:tc>
        <w:tc>
          <w:tcPr>
            <w:tcW w:w="846" w:type="dxa"/>
          </w:tcPr>
          <w:p w14:paraId="105B8C1C" w14:textId="28BDF16A" w:rsidR="00554855" w:rsidRPr="002514BC" w:rsidRDefault="00CB0FD9"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0.06</w:t>
            </w:r>
          </w:p>
        </w:tc>
      </w:tr>
      <w:tr w:rsidR="00554855" w14:paraId="7FB064B2" w14:textId="0F203C59" w:rsidTr="00554855">
        <w:tc>
          <w:tcPr>
            <w:cnfStyle w:val="001000000000" w:firstRow="0" w:lastRow="0" w:firstColumn="1" w:lastColumn="0" w:oddVBand="0" w:evenVBand="0" w:oddHBand="0" w:evenHBand="0" w:firstRowFirstColumn="0" w:firstRowLastColumn="0" w:lastRowFirstColumn="0" w:lastRowLastColumn="0"/>
            <w:tcW w:w="1762" w:type="dxa"/>
          </w:tcPr>
          <w:p w14:paraId="4B3E1DAE" w14:textId="7A2B0C6F" w:rsidR="00554855" w:rsidRPr="002514BC" w:rsidRDefault="001956E2" w:rsidP="00554855">
            <w:pPr>
              <w:jc w:val="both"/>
              <w:rPr>
                <w:rFonts w:ascii="Arial" w:hAnsi="Arial" w:cs="Arial"/>
                <w:sz w:val="20"/>
                <w:szCs w:val="20"/>
              </w:rPr>
            </w:pPr>
            <w:r>
              <w:rPr>
                <w:rFonts w:ascii="Arial" w:hAnsi="Arial" w:cs="Arial"/>
                <w:sz w:val="20"/>
                <w:szCs w:val="20"/>
              </w:rPr>
              <w:t>Irritabilidad</w:t>
            </w:r>
          </w:p>
        </w:tc>
        <w:tc>
          <w:tcPr>
            <w:tcW w:w="1467" w:type="dxa"/>
          </w:tcPr>
          <w:p w14:paraId="29057F45" w14:textId="07FE1142"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0.91</w:t>
            </w:r>
          </w:p>
        </w:tc>
        <w:tc>
          <w:tcPr>
            <w:tcW w:w="1467" w:type="dxa"/>
          </w:tcPr>
          <w:p w14:paraId="52F0327D" w14:textId="6498FDFE"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0.78</w:t>
            </w:r>
          </w:p>
        </w:tc>
        <w:tc>
          <w:tcPr>
            <w:tcW w:w="1568" w:type="dxa"/>
          </w:tcPr>
          <w:p w14:paraId="63CDB6A1" w14:textId="190BBC39"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w:t>
            </w:r>
          </w:p>
        </w:tc>
        <w:tc>
          <w:tcPr>
            <w:tcW w:w="1384" w:type="dxa"/>
          </w:tcPr>
          <w:p w14:paraId="65E43ACB" w14:textId="1F0F609E"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.49</w:t>
            </w:r>
          </w:p>
        </w:tc>
        <w:tc>
          <w:tcPr>
            <w:tcW w:w="846" w:type="dxa"/>
          </w:tcPr>
          <w:p w14:paraId="62B7ED55" w14:textId="66B1433C"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0.04</w:t>
            </w:r>
          </w:p>
        </w:tc>
      </w:tr>
      <w:tr w:rsidR="00554855" w14:paraId="1DF3A84C" w14:textId="4518CF43"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2D13F089" w14:textId="2755F997" w:rsidR="00554855" w:rsidRPr="002514BC" w:rsidRDefault="001956E2" w:rsidP="00554855">
            <w:pPr>
              <w:jc w:val="both"/>
              <w:rPr>
                <w:rFonts w:ascii="Arial" w:hAnsi="Arial" w:cs="Arial"/>
                <w:sz w:val="20"/>
                <w:szCs w:val="20"/>
              </w:rPr>
            </w:pPr>
            <w:r>
              <w:rPr>
                <w:rFonts w:ascii="Arial" w:hAnsi="Arial" w:cs="Arial"/>
                <w:sz w:val="20"/>
                <w:szCs w:val="20"/>
              </w:rPr>
              <w:t>Retirada social</w:t>
            </w:r>
          </w:p>
        </w:tc>
        <w:tc>
          <w:tcPr>
            <w:tcW w:w="1467" w:type="dxa"/>
          </w:tcPr>
          <w:p w14:paraId="70FF7296" w14:textId="5A4DCB79"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0.76</w:t>
            </w:r>
          </w:p>
        </w:tc>
        <w:tc>
          <w:tcPr>
            <w:tcW w:w="1467" w:type="dxa"/>
          </w:tcPr>
          <w:p w14:paraId="12DBD4E3" w14:textId="1B64A0BD"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0.82</w:t>
            </w:r>
          </w:p>
        </w:tc>
        <w:tc>
          <w:tcPr>
            <w:tcW w:w="1568" w:type="dxa"/>
          </w:tcPr>
          <w:p w14:paraId="1682CDA0" w14:textId="4CC45A14"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.40</w:t>
            </w:r>
          </w:p>
        </w:tc>
        <w:tc>
          <w:tcPr>
            <w:tcW w:w="1384" w:type="dxa"/>
          </w:tcPr>
          <w:p w14:paraId="33173FB4" w14:textId="687B457F"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.57</w:t>
            </w:r>
          </w:p>
        </w:tc>
        <w:tc>
          <w:tcPr>
            <w:tcW w:w="846" w:type="dxa"/>
          </w:tcPr>
          <w:p w14:paraId="63D42111" w14:textId="2DFFDFA5"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60432747" w14:textId="5C05804F" w:rsidTr="00554855">
        <w:tc>
          <w:tcPr>
            <w:cnfStyle w:val="001000000000" w:firstRow="0" w:lastRow="0" w:firstColumn="1" w:lastColumn="0" w:oddVBand="0" w:evenVBand="0" w:oddHBand="0" w:evenHBand="0" w:firstRowFirstColumn="0" w:firstRowLastColumn="0" w:lastRowFirstColumn="0" w:lastRowLastColumn="0"/>
            <w:tcW w:w="1762" w:type="dxa"/>
          </w:tcPr>
          <w:p w14:paraId="278C1F29" w14:textId="3986B88F" w:rsidR="00554855" w:rsidRPr="002514BC" w:rsidRDefault="00091021" w:rsidP="00554855">
            <w:pPr>
              <w:jc w:val="both"/>
              <w:rPr>
                <w:rFonts w:ascii="Arial" w:hAnsi="Arial" w:cs="Arial"/>
                <w:sz w:val="20"/>
                <w:szCs w:val="20"/>
              </w:rPr>
            </w:pPr>
            <w:r>
              <w:rPr>
                <w:rFonts w:ascii="Arial" w:hAnsi="Arial" w:cs="Arial"/>
                <w:sz w:val="20"/>
                <w:szCs w:val="20"/>
              </w:rPr>
              <w:t>Indecisión</w:t>
            </w:r>
          </w:p>
        </w:tc>
        <w:tc>
          <w:tcPr>
            <w:tcW w:w="1467" w:type="dxa"/>
          </w:tcPr>
          <w:p w14:paraId="45944089" w14:textId="4BBFF5B1"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1.20</w:t>
            </w:r>
          </w:p>
        </w:tc>
        <w:tc>
          <w:tcPr>
            <w:tcW w:w="1467" w:type="dxa"/>
          </w:tcPr>
          <w:p w14:paraId="637C9D09" w14:textId="32C7201B"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0.96</w:t>
            </w:r>
          </w:p>
        </w:tc>
        <w:tc>
          <w:tcPr>
            <w:tcW w:w="1568" w:type="dxa"/>
          </w:tcPr>
          <w:p w14:paraId="3EA1573C" w14:textId="6E07F9ED"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.45</w:t>
            </w:r>
          </w:p>
        </w:tc>
        <w:tc>
          <w:tcPr>
            <w:tcW w:w="1384" w:type="dxa"/>
          </w:tcPr>
          <w:p w14:paraId="4E9C6107" w14:textId="535D749B"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.64</w:t>
            </w:r>
          </w:p>
        </w:tc>
        <w:tc>
          <w:tcPr>
            <w:tcW w:w="846" w:type="dxa"/>
          </w:tcPr>
          <w:p w14:paraId="5A184F8F" w14:textId="23028462"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194224DA" w14:textId="71B0FA43"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0B46B18D" w14:textId="1579850B" w:rsidR="00554855" w:rsidRPr="002514BC" w:rsidRDefault="00091021" w:rsidP="00554855">
            <w:pPr>
              <w:jc w:val="both"/>
              <w:rPr>
                <w:rFonts w:ascii="Arial" w:hAnsi="Arial" w:cs="Arial"/>
                <w:sz w:val="20"/>
                <w:szCs w:val="20"/>
              </w:rPr>
            </w:pPr>
            <w:r>
              <w:rPr>
                <w:rFonts w:ascii="Arial" w:hAnsi="Arial" w:cs="Arial"/>
                <w:sz w:val="20"/>
                <w:szCs w:val="20"/>
              </w:rPr>
              <w:t>Cambios en la imagen corporal</w:t>
            </w:r>
          </w:p>
        </w:tc>
        <w:tc>
          <w:tcPr>
            <w:tcW w:w="1467" w:type="dxa"/>
          </w:tcPr>
          <w:p w14:paraId="32163123" w14:textId="4E703C5F"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0.89</w:t>
            </w:r>
          </w:p>
        </w:tc>
        <w:tc>
          <w:tcPr>
            <w:tcW w:w="1467" w:type="dxa"/>
          </w:tcPr>
          <w:p w14:paraId="1867C710" w14:textId="26C212F9"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w:t>
            </w:r>
          </w:p>
        </w:tc>
        <w:tc>
          <w:tcPr>
            <w:tcW w:w="1568" w:type="dxa"/>
          </w:tcPr>
          <w:p w14:paraId="604C5EE4" w14:textId="13F0F073"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.49</w:t>
            </w:r>
          </w:p>
        </w:tc>
        <w:tc>
          <w:tcPr>
            <w:tcW w:w="1384" w:type="dxa"/>
          </w:tcPr>
          <w:p w14:paraId="6CE145DD" w14:textId="46651E64"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.62</w:t>
            </w:r>
          </w:p>
        </w:tc>
        <w:tc>
          <w:tcPr>
            <w:tcW w:w="846" w:type="dxa"/>
          </w:tcPr>
          <w:p w14:paraId="2D7DC9F6" w14:textId="036A1F44"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0.06</w:t>
            </w:r>
          </w:p>
        </w:tc>
      </w:tr>
      <w:tr w:rsidR="00554855" w14:paraId="34B3E86D" w14:textId="4DB9B251" w:rsidTr="00554855">
        <w:tc>
          <w:tcPr>
            <w:cnfStyle w:val="001000000000" w:firstRow="0" w:lastRow="0" w:firstColumn="1" w:lastColumn="0" w:oddVBand="0" w:evenVBand="0" w:oddHBand="0" w:evenHBand="0" w:firstRowFirstColumn="0" w:firstRowLastColumn="0" w:lastRowFirstColumn="0" w:lastRowLastColumn="0"/>
            <w:tcW w:w="1762" w:type="dxa"/>
          </w:tcPr>
          <w:p w14:paraId="198C7286" w14:textId="68528AAF" w:rsidR="00554855" w:rsidRPr="002514BC" w:rsidRDefault="00091021" w:rsidP="00554855">
            <w:pPr>
              <w:jc w:val="both"/>
              <w:rPr>
                <w:rFonts w:ascii="Arial" w:hAnsi="Arial" w:cs="Arial"/>
                <w:sz w:val="20"/>
                <w:szCs w:val="20"/>
              </w:rPr>
            </w:pPr>
            <w:r>
              <w:rPr>
                <w:rFonts w:ascii="Arial" w:hAnsi="Arial" w:cs="Arial"/>
                <w:sz w:val="20"/>
                <w:szCs w:val="20"/>
              </w:rPr>
              <w:t>Enlentecimiento</w:t>
            </w:r>
          </w:p>
        </w:tc>
        <w:tc>
          <w:tcPr>
            <w:tcW w:w="1467" w:type="dxa"/>
          </w:tcPr>
          <w:p w14:paraId="3C12426A" w14:textId="4C28E9CC"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1.01</w:t>
            </w:r>
          </w:p>
        </w:tc>
        <w:tc>
          <w:tcPr>
            <w:tcW w:w="1467" w:type="dxa"/>
          </w:tcPr>
          <w:p w14:paraId="238ABE24" w14:textId="3D3E3D6A"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0.85</w:t>
            </w:r>
          </w:p>
        </w:tc>
        <w:tc>
          <w:tcPr>
            <w:tcW w:w="1568" w:type="dxa"/>
          </w:tcPr>
          <w:p w14:paraId="1CAD388E" w14:textId="384DE3D7"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.42</w:t>
            </w:r>
          </w:p>
        </w:tc>
        <w:tc>
          <w:tcPr>
            <w:tcW w:w="1384" w:type="dxa"/>
          </w:tcPr>
          <w:p w14:paraId="3C5F7262" w14:textId="5984DB36"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.61</w:t>
            </w:r>
          </w:p>
        </w:tc>
        <w:tc>
          <w:tcPr>
            <w:tcW w:w="846" w:type="dxa"/>
          </w:tcPr>
          <w:p w14:paraId="67FA9FFF" w14:textId="4C855761"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0.04</w:t>
            </w:r>
          </w:p>
        </w:tc>
      </w:tr>
      <w:tr w:rsidR="00091021" w14:paraId="58375AD1" w14:textId="77777777"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1ACDE064" w14:textId="5A76ADA3" w:rsidR="00091021" w:rsidRDefault="00091021" w:rsidP="00554855">
            <w:pPr>
              <w:jc w:val="both"/>
              <w:rPr>
                <w:rFonts w:ascii="Arial" w:hAnsi="Arial" w:cs="Arial"/>
                <w:sz w:val="20"/>
                <w:szCs w:val="20"/>
              </w:rPr>
            </w:pPr>
            <w:r>
              <w:rPr>
                <w:rFonts w:ascii="Arial" w:hAnsi="Arial" w:cs="Arial"/>
                <w:sz w:val="20"/>
                <w:szCs w:val="20"/>
              </w:rPr>
              <w:t>Fatigabilidad</w:t>
            </w:r>
          </w:p>
        </w:tc>
        <w:tc>
          <w:tcPr>
            <w:tcW w:w="1467" w:type="dxa"/>
          </w:tcPr>
          <w:p w14:paraId="67262BC0" w14:textId="3DC8002B" w:rsidR="00091021"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0.88</w:t>
            </w:r>
          </w:p>
        </w:tc>
        <w:tc>
          <w:tcPr>
            <w:tcW w:w="1467" w:type="dxa"/>
          </w:tcPr>
          <w:p w14:paraId="3E695345" w14:textId="01791CBE" w:rsidR="00091021"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0.90</w:t>
            </w:r>
          </w:p>
        </w:tc>
        <w:tc>
          <w:tcPr>
            <w:tcW w:w="1568" w:type="dxa"/>
          </w:tcPr>
          <w:p w14:paraId="69AC54D5" w14:textId="5647677C" w:rsidR="00091021"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.37</w:t>
            </w:r>
          </w:p>
        </w:tc>
        <w:tc>
          <w:tcPr>
            <w:tcW w:w="1384" w:type="dxa"/>
          </w:tcPr>
          <w:p w14:paraId="133F5642" w14:textId="146184AB" w:rsidR="00091021"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.45</w:t>
            </w:r>
          </w:p>
        </w:tc>
        <w:tc>
          <w:tcPr>
            <w:tcW w:w="846" w:type="dxa"/>
          </w:tcPr>
          <w:p w14:paraId="7FDCE482" w14:textId="1E6EAF02" w:rsidR="00091021"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57D157A8" w14:textId="14D8D9EC" w:rsidTr="00554855">
        <w:tc>
          <w:tcPr>
            <w:cnfStyle w:val="001000000000" w:firstRow="0" w:lastRow="0" w:firstColumn="1" w:lastColumn="0" w:oddVBand="0" w:evenVBand="0" w:oddHBand="0" w:evenHBand="0" w:firstRowFirstColumn="0" w:firstRowLastColumn="0" w:lastRowFirstColumn="0" w:lastRowLastColumn="0"/>
            <w:tcW w:w="7648" w:type="dxa"/>
            <w:gridSpan w:val="5"/>
          </w:tcPr>
          <w:p w14:paraId="5112C30B" w14:textId="636ACA0A" w:rsidR="00554855" w:rsidRPr="002514BC" w:rsidRDefault="00554855" w:rsidP="00554855">
            <w:pPr>
              <w:jc w:val="center"/>
              <w:rPr>
                <w:rFonts w:ascii="Arial" w:hAnsi="Arial" w:cs="Arial"/>
                <w:sz w:val="20"/>
                <w:szCs w:val="20"/>
              </w:rPr>
            </w:pPr>
            <w:r>
              <w:rPr>
                <w:rFonts w:ascii="Arial" w:hAnsi="Arial" w:cs="Arial"/>
                <w:sz w:val="20"/>
                <w:szCs w:val="20"/>
              </w:rPr>
              <w:t>FACTOR SOMÁTICO</w:t>
            </w:r>
          </w:p>
        </w:tc>
        <w:tc>
          <w:tcPr>
            <w:tcW w:w="846" w:type="dxa"/>
          </w:tcPr>
          <w:p w14:paraId="5E2CF5DE" w14:textId="77777777" w:rsidR="00554855"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54855" w14:paraId="6694F398" w14:textId="7DE13C42"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74E87ABB" w14:textId="34B24CEB" w:rsidR="00554855" w:rsidRPr="002514BC" w:rsidRDefault="00554855" w:rsidP="00554855">
            <w:pPr>
              <w:jc w:val="both"/>
              <w:rPr>
                <w:rFonts w:ascii="Arial" w:hAnsi="Arial" w:cs="Arial"/>
                <w:sz w:val="20"/>
                <w:szCs w:val="20"/>
              </w:rPr>
            </w:pPr>
            <w:r>
              <w:rPr>
                <w:rFonts w:ascii="Arial" w:hAnsi="Arial" w:cs="Arial"/>
                <w:sz w:val="20"/>
                <w:szCs w:val="20"/>
              </w:rPr>
              <w:t>Insomnio</w:t>
            </w:r>
          </w:p>
        </w:tc>
        <w:tc>
          <w:tcPr>
            <w:tcW w:w="1467" w:type="dxa"/>
          </w:tcPr>
          <w:p w14:paraId="15B94FAC" w14:textId="7898B39D"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0.91</w:t>
            </w:r>
          </w:p>
        </w:tc>
        <w:tc>
          <w:tcPr>
            <w:tcW w:w="1467" w:type="dxa"/>
          </w:tcPr>
          <w:p w14:paraId="01323728" w14:textId="102EDF31"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0.91</w:t>
            </w:r>
          </w:p>
        </w:tc>
        <w:tc>
          <w:tcPr>
            <w:tcW w:w="1568" w:type="dxa"/>
          </w:tcPr>
          <w:p w14:paraId="7E7A9972" w14:textId="34892ED0"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.39</w:t>
            </w:r>
          </w:p>
        </w:tc>
        <w:tc>
          <w:tcPr>
            <w:tcW w:w="1384" w:type="dxa"/>
          </w:tcPr>
          <w:p w14:paraId="405DB927" w14:textId="64D08C11"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.56</w:t>
            </w:r>
          </w:p>
        </w:tc>
        <w:tc>
          <w:tcPr>
            <w:tcW w:w="846" w:type="dxa"/>
          </w:tcPr>
          <w:p w14:paraId="44D19E6C" w14:textId="22DAB113"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1103A198" w14:textId="38B7652F" w:rsidTr="00554855">
        <w:tc>
          <w:tcPr>
            <w:cnfStyle w:val="001000000000" w:firstRow="0" w:lastRow="0" w:firstColumn="1" w:lastColumn="0" w:oddVBand="0" w:evenVBand="0" w:oddHBand="0" w:evenHBand="0" w:firstRowFirstColumn="0" w:firstRowLastColumn="0" w:lastRowFirstColumn="0" w:lastRowLastColumn="0"/>
            <w:tcW w:w="1762" w:type="dxa"/>
          </w:tcPr>
          <w:p w14:paraId="7B51F3AB" w14:textId="0EEA1A77" w:rsidR="00554855" w:rsidRPr="002514BC" w:rsidRDefault="00554855" w:rsidP="00554855">
            <w:pPr>
              <w:jc w:val="both"/>
              <w:rPr>
                <w:rFonts w:ascii="Arial" w:hAnsi="Arial" w:cs="Arial"/>
                <w:sz w:val="20"/>
                <w:szCs w:val="20"/>
              </w:rPr>
            </w:pPr>
            <w:r>
              <w:rPr>
                <w:rFonts w:ascii="Arial" w:hAnsi="Arial" w:cs="Arial"/>
                <w:sz w:val="20"/>
                <w:szCs w:val="20"/>
              </w:rPr>
              <w:t>Pérdida de apetito</w:t>
            </w:r>
          </w:p>
        </w:tc>
        <w:tc>
          <w:tcPr>
            <w:tcW w:w="1467" w:type="dxa"/>
          </w:tcPr>
          <w:p w14:paraId="11FDE514" w14:textId="41116147"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0.85</w:t>
            </w:r>
          </w:p>
        </w:tc>
        <w:tc>
          <w:tcPr>
            <w:tcW w:w="1467" w:type="dxa"/>
          </w:tcPr>
          <w:p w14:paraId="5449F0C7" w14:textId="2C894630"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1.02</w:t>
            </w:r>
          </w:p>
        </w:tc>
        <w:tc>
          <w:tcPr>
            <w:tcW w:w="1568" w:type="dxa"/>
          </w:tcPr>
          <w:p w14:paraId="33A6EB32" w14:textId="0954354F"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.55</w:t>
            </w:r>
          </w:p>
        </w:tc>
        <w:tc>
          <w:tcPr>
            <w:tcW w:w="1384" w:type="dxa"/>
          </w:tcPr>
          <w:p w14:paraId="25999C08" w14:textId="38AC787B"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.67</w:t>
            </w:r>
          </w:p>
        </w:tc>
        <w:tc>
          <w:tcPr>
            <w:tcW w:w="846" w:type="dxa"/>
          </w:tcPr>
          <w:p w14:paraId="6EB18EA5" w14:textId="6B22CD59"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7A7A532B" w14:textId="2CBA303A"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535B1105" w14:textId="141A0B01" w:rsidR="00554855" w:rsidRPr="002514BC" w:rsidRDefault="00554855" w:rsidP="00554855">
            <w:pPr>
              <w:jc w:val="both"/>
              <w:rPr>
                <w:rFonts w:ascii="Arial" w:hAnsi="Arial" w:cs="Arial"/>
                <w:sz w:val="20"/>
                <w:szCs w:val="20"/>
              </w:rPr>
            </w:pPr>
            <w:r>
              <w:rPr>
                <w:rFonts w:ascii="Arial" w:hAnsi="Arial" w:cs="Arial"/>
                <w:sz w:val="20"/>
                <w:szCs w:val="20"/>
              </w:rPr>
              <w:t>Pérdida de peso</w:t>
            </w:r>
          </w:p>
        </w:tc>
        <w:tc>
          <w:tcPr>
            <w:tcW w:w="1467" w:type="dxa"/>
          </w:tcPr>
          <w:p w14:paraId="67A8CD9F" w14:textId="0864FBB7"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0.36</w:t>
            </w:r>
          </w:p>
        </w:tc>
        <w:tc>
          <w:tcPr>
            <w:tcW w:w="1467" w:type="dxa"/>
          </w:tcPr>
          <w:p w14:paraId="51E540AD" w14:textId="3BAA8B91"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0.64</w:t>
            </w:r>
          </w:p>
        </w:tc>
        <w:tc>
          <w:tcPr>
            <w:tcW w:w="1568" w:type="dxa"/>
          </w:tcPr>
          <w:p w14:paraId="62EF069C" w14:textId="5D009836"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.57</w:t>
            </w:r>
          </w:p>
        </w:tc>
        <w:tc>
          <w:tcPr>
            <w:tcW w:w="1384" w:type="dxa"/>
          </w:tcPr>
          <w:p w14:paraId="06DD7FBE" w14:textId="16714536"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.74</w:t>
            </w:r>
          </w:p>
        </w:tc>
        <w:tc>
          <w:tcPr>
            <w:tcW w:w="846" w:type="dxa"/>
          </w:tcPr>
          <w:p w14:paraId="7DD8E447" w14:textId="1139F70A"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0.03</w:t>
            </w:r>
          </w:p>
        </w:tc>
      </w:tr>
      <w:tr w:rsidR="00554855" w14:paraId="65794A8D" w14:textId="04BA7560" w:rsidTr="00554855">
        <w:tc>
          <w:tcPr>
            <w:cnfStyle w:val="001000000000" w:firstRow="0" w:lastRow="0" w:firstColumn="1" w:lastColumn="0" w:oddVBand="0" w:evenVBand="0" w:oddHBand="0" w:evenHBand="0" w:firstRowFirstColumn="0" w:firstRowLastColumn="0" w:lastRowFirstColumn="0" w:lastRowLastColumn="0"/>
            <w:tcW w:w="1762" w:type="dxa"/>
          </w:tcPr>
          <w:p w14:paraId="41D58CD6" w14:textId="115A025B" w:rsidR="00554855" w:rsidRPr="002514BC" w:rsidRDefault="00554855" w:rsidP="00554855">
            <w:pPr>
              <w:jc w:val="both"/>
              <w:rPr>
                <w:rFonts w:ascii="Arial" w:hAnsi="Arial" w:cs="Arial"/>
                <w:sz w:val="20"/>
                <w:szCs w:val="20"/>
              </w:rPr>
            </w:pPr>
            <w:r>
              <w:rPr>
                <w:rFonts w:ascii="Arial" w:hAnsi="Arial" w:cs="Arial"/>
                <w:sz w:val="20"/>
                <w:szCs w:val="20"/>
              </w:rPr>
              <w:t>Preocupaciones somáticas</w:t>
            </w:r>
          </w:p>
        </w:tc>
        <w:tc>
          <w:tcPr>
            <w:tcW w:w="1467" w:type="dxa"/>
          </w:tcPr>
          <w:p w14:paraId="3888BD18" w14:textId="6CA6A593"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0.67</w:t>
            </w:r>
          </w:p>
        </w:tc>
        <w:tc>
          <w:tcPr>
            <w:tcW w:w="1467" w:type="dxa"/>
          </w:tcPr>
          <w:p w14:paraId="70CB02E7" w14:textId="34962BE0"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0.89</w:t>
            </w:r>
          </w:p>
        </w:tc>
        <w:tc>
          <w:tcPr>
            <w:tcW w:w="1568" w:type="dxa"/>
          </w:tcPr>
          <w:p w14:paraId="373B592C" w14:textId="224CC7E8"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.39</w:t>
            </w:r>
          </w:p>
        </w:tc>
        <w:tc>
          <w:tcPr>
            <w:tcW w:w="1384" w:type="dxa"/>
          </w:tcPr>
          <w:p w14:paraId="7AD8AD32" w14:textId="3BAE4308"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.49</w:t>
            </w:r>
          </w:p>
        </w:tc>
        <w:tc>
          <w:tcPr>
            <w:tcW w:w="846" w:type="dxa"/>
          </w:tcPr>
          <w:p w14:paraId="0035A7D7" w14:textId="1362E9CD"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3581A04F" w14:textId="25748CEB"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792DF8EF" w14:textId="6CF29112" w:rsidR="00554855" w:rsidRPr="002514BC" w:rsidRDefault="00554855" w:rsidP="00554855">
            <w:pPr>
              <w:jc w:val="both"/>
              <w:rPr>
                <w:rFonts w:ascii="Arial" w:hAnsi="Arial" w:cs="Arial"/>
                <w:sz w:val="20"/>
                <w:szCs w:val="20"/>
              </w:rPr>
            </w:pPr>
            <w:r>
              <w:rPr>
                <w:rFonts w:ascii="Arial" w:hAnsi="Arial" w:cs="Arial"/>
                <w:sz w:val="20"/>
                <w:szCs w:val="20"/>
              </w:rPr>
              <w:t>Bajo nivel de energía</w:t>
            </w:r>
          </w:p>
        </w:tc>
        <w:tc>
          <w:tcPr>
            <w:tcW w:w="1467" w:type="dxa"/>
          </w:tcPr>
          <w:p w14:paraId="73B3D05F" w14:textId="6C7C98EF"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0.60</w:t>
            </w:r>
          </w:p>
        </w:tc>
        <w:tc>
          <w:tcPr>
            <w:tcW w:w="1467" w:type="dxa"/>
          </w:tcPr>
          <w:p w14:paraId="544DCDE9" w14:textId="27A3F84E"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0.96</w:t>
            </w:r>
          </w:p>
        </w:tc>
        <w:tc>
          <w:tcPr>
            <w:tcW w:w="1568" w:type="dxa"/>
          </w:tcPr>
          <w:p w14:paraId="47E15828" w14:textId="226083FB"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.37</w:t>
            </w:r>
          </w:p>
        </w:tc>
        <w:tc>
          <w:tcPr>
            <w:tcW w:w="1384" w:type="dxa"/>
          </w:tcPr>
          <w:p w14:paraId="2AFFE1AE" w14:textId="04C07C85"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.48</w:t>
            </w:r>
          </w:p>
        </w:tc>
        <w:tc>
          <w:tcPr>
            <w:tcW w:w="846" w:type="dxa"/>
          </w:tcPr>
          <w:p w14:paraId="034ED47D" w14:textId="2547A1E5"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bl>
    <w:p w14:paraId="44932B4F" w14:textId="063C76AB" w:rsidR="002514BC" w:rsidRDefault="002514BC" w:rsidP="002514BC">
      <w:pPr>
        <w:jc w:val="center"/>
        <w:rPr>
          <w:rFonts w:ascii="Arial" w:hAnsi="Arial" w:cs="Arial"/>
          <w:sz w:val="24"/>
          <w:szCs w:val="24"/>
        </w:rPr>
      </w:pPr>
    </w:p>
    <w:p w14:paraId="58A14261" w14:textId="3D7C6F49" w:rsidR="008A2AF4" w:rsidRDefault="008A2AF4" w:rsidP="002514BC">
      <w:pPr>
        <w:jc w:val="center"/>
        <w:rPr>
          <w:rFonts w:ascii="Arial" w:hAnsi="Arial" w:cs="Arial"/>
          <w:sz w:val="24"/>
          <w:szCs w:val="24"/>
        </w:rPr>
      </w:pPr>
    </w:p>
    <w:p w14:paraId="69C61A82" w14:textId="77777777" w:rsidR="008A2AF4" w:rsidRPr="003A7080" w:rsidRDefault="008A2AF4" w:rsidP="002514BC">
      <w:pPr>
        <w:jc w:val="center"/>
        <w:rPr>
          <w:rFonts w:ascii="Arial" w:hAnsi="Arial" w:cs="Arial"/>
          <w:sz w:val="24"/>
          <w:szCs w:val="24"/>
        </w:rPr>
      </w:pPr>
    </w:p>
    <w:p w14:paraId="6327A573" w14:textId="77777777" w:rsidR="002365FD" w:rsidRPr="00D42635" w:rsidRDefault="002365FD" w:rsidP="00EB3E7B">
      <w:pPr>
        <w:pStyle w:val="ListParagraph"/>
        <w:jc w:val="center"/>
        <w:rPr>
          <w:rFonts w:ascii="Arial" w:hAnsi="Arial" w:cs="Arial"/>
          <w:sz w:val="24"/>
          <w:szCs w:val="24"/>
        </w:rPr>
      </w:pPr>
    </w:p>
    <w:p w14:paraId="211D37C9" w14:textId="77777777" w:rsidR="00275638" w:rsidRPr="006867BD" w:rsidRDefault="006867BD" w:rsidP="00025B9A">
      <w:pPr>
        <w:pStyle w:val="ListParagraph"/>
        <w:numPr>
          <w:ilvl w:val="0"/>
          <w:numId w:val="1"/>
        </w:numPr>
        <w:rPr>
          <w:rFonts w:ascii="Arial" w:hAnsi="Arial" w:cs="Arial"/>
          <w:b/>
          <w:bCs/>
          <w:sz w:val="24"/>
          <w:szCs w:val="24"/>
        </w:rPr>
      </w:pPr>
      <w:r w:rsidRPr="006867BD">
        <w:rPr>
          <w:rFonts w:ascii="Arial" w:hAnsi="Arial" w:cs="Arial"/>
          <w:b/>
          <w:bCs/>
          <w:sz w:val="24"/>
          <w:szCs w:val="24"/>
        </w:rPr>
        <w:lastRenderedPageBreak/>
        <w:t>Manual Diagnóstico y Estadístico de los Trastornos Mentales</w:t>
      </w:r>
    </w:p>
    <w:p w14:paraId="78F1E47F" w14:textId="77777777" w:rsidR="00025B9A" w:rsidRPr="00025B9A" w:rsidRDefault="00025B9A" w:rsidP="00025B9A">
      <w:pPr>
        <w:jc w:val="both"/>
        <w:rPr>
          <w:rFonts w:ascii="Arial" w:hAnsi="Arial" w:cs="Arial"/>
          <w:sz w:val="24"/>
          <w:szCs w:val="24"/>
        </w:rPr>
      </w:pPr>
      <w:r w:rsidRPr="00025B9A">
        <w:rPr>
          <w:rFonts w:ascii="Arial" w:hAnsi="Arial" w:cs="Arial"/>
          <w:sz w:val="24"/>
          <w:szCs w:val="24"/>
        </w:rPr>
        <w:t>DSM (Diagnostic and Statistical Manual of Mental Disorders) es el Manual Diagnóstico y Estadístico de los Trastornos Mentales de la Asociación Americana de Psiquiatría (American Psychiatric Association, APA) y contiene descripciones, síntomas y otros criterios para diagnosticar trastornos mentales.</w:t>
      </w:r>
    </w:p>
    <w:p w14:paraId="72D7CB1A" w14:textId="12AA47BD" w:rsidR="00025B9A" w:rsidRPr="00025B9A" w:rsidRDefault="00025B9A" w:rsidP="00025B9A">
      <w:pPr>
        <w:jc w:val="both"/>
        <w:rPr>
          <w:rFonts w:ascii="Arial" w:hAnsi="Arial" w:cs="Arial"/>
          <w:sz w:val="24"/>
          <w:szCs w:val="24"/>
        </w:rPr>
      </w:pPr>
      <w:r w:rsidRPr="00025B9A">
        <w:rPr>
          <w:rFonts w:ascii="Arial" w:hAnsi="Arial" w:cs="Arial"/>
          <w:sz w:val="24"/>
          <w:szCs w:val="24"/>
        </w:rPr>
        <w:t xml:space="preserve">Estos </w:t>
      </w:r>
      <w:r w:rsidR="006867BD">
        <w:rPr>
          <w:rFonts w:ascii="Arial" w:hAnsi="Arial" w:cs="Arial"/>
          <w:sz w:val="24"/>
          <w:szCs w:val="24"/>
        </w:rPr>
        <w:t xml:space="preserve">distintos </w:t>
      </w:r>
      <w:r w:rsidRPr="00025B9A">
        <w:rPr>
          <w:rFonts w:ascii="Arial" w:hAnsi="Arial" w:cs="Arial"/>
          <w:sz w:val="24"/>
          <w:szCs w:val="24"/>
        </w:rPr>
        <w:t xml:space="preserve">criterios de diagnóstico proporcionan un lenguaje común entre los distintos profesionales (psiquiatras, psicólogos clínicos e investigadores de las ciencias de la salud) que se dedica a la psicopatología, </w:t>
      </w:r>
      <w:r w:rsidR="006867BD">
        <w:rPr>
          <w:rFonts w:ascii="Arial" w:hAnsi="Arial" w:cs="Arial"/>
          <w:sz w:val="24"/>
          <w:szCs w:val="24"/>
        </w:rPr>
        <w:t>permitiendo que se establezcan</w:t>
      </w:r>
      <w:r w:rsidRPr="00025B9A">
        <w:rPr>
          <w:rFonts w:ascii="Arial" w:hAnsi="Arial" w:cs="Arial"/>
          <w:sz w:val="24"/>
          <w:szCs w:val="24"/>
        </w:rPr>
        <w:t xml:space="preserve"> claramente los criterios que los definen y ayudando a asegurar que el diagnóstico sea preciso y consistente</w:t>
      </w:r>
      <w:sdt>
        <w:sdtPr>
          <w:rPr>
            <w:rFonts w:ascii="Arial" w:hAnsi="Arial" w:cs="Arial"/>
            <w:sz w:val="24"/>
            <w:szCs w:val="24"/>
          </w:rPr>
          <w:id w:val="1824846597"/>
          <w:citation/>
        </w:sdtPr>
        <w:sdtEndPr/>
        <w:sdtContent>
          <w:r w:rsidR="006867BD">
            <w:rPr>
              <w:rFonts w:ascii="Arial" w:hAnsi="Arial" w:cs="Arial"/>
              <w:sz w:val="24"/>
              <w:szCs w:val="24"/>
            </w:rPr>
            <w:fldChar w:fldCharType="begin"/>
          </w:r>
          <w:r w:rsidR="006867BD">
            <w:rPr>
              <w:rFonts w:ascii="Arial" w:hAnsi="Arial" w:cs="Arial"/>
              <w:sz w:val="24"/>
              <w:szCs w:val="24"/>
            </w:rPr>
            <w:instrText xml:space="preserve"> CITATION Qué \l 3082 </w:instrText>
          </w:r>
          <w:r w:rsidR="006867BD">
            <w:rPr>
              <w:rFonts w:ascii="Arial" w:hAnsi="Arial" w:cs="Arial"/>
              <w:sz w:val="24"/>
              <w:szCs w:val="24"/>
            </w:rPr>
            <w:fldChar w:fldCharType="separate"/>
          </w:r>
          <w:r w:rsidR="00591BD6">
            <w:rPr>
              <w:rFonts w:ascii="Arial" w:hAnsi="Arial" w:cs="Arial"/>
              <w:noProof/>
              <w:sz w:val="24"/>
              <w:szCs w:val="24"/>
            </w:rPr>
            <w:t xml:space="preserve"> </w:t>
          </w:r>
          <w:r w:rsidR="00591BD6" w:rsidRPr="00591BD6">
            <w:rPr>
              <w:rFonts w:ascii="Arial" w:hAnsi="Arial" w:cs="Arial"/>
              <w:noProof/>
              <w:sz w:val="24"/>
              <w:szCs w:val="24"/>
            </w:rPr>
            <w:t>(¿Qué es el DSM? ¿Afectará la nueva versión DSM-5 al TDAH?, s.f.)</w:t>
          </w:r>
          <w:r w:rsidR="006867BD">
            <w:rPr>
              <w:rFonts w:ascii="Arial" w:hAnsi="Arial" w:cs="Arial"/>
              <w:sz w:val="24"/>
              <w:szCs w:val="24"/>
            </w:rPr>
            <w:fldChar w:fldCharType="end"/>
          </w:r>
        </w:sdtContent>
      </w:sdt>
      <w:r w:rsidRPr="00025B9A">
        <w:rPr>
          <w:rFonts w:ascii="Arial" w:hAnsi="Arial" w:cs="Arial"/>
          <w:sz w:val="24"/>
          <w:szCs w:val="24"/>
        </w:rPr>
        <w:t>.</w:t>
      </w:r>
    </w:p>
    <w:p w14:paraId="5B97A519" w14:textId="77777777" w:rsidR="00025B9A" w:rsidRDefault="00025B9A" w:rsidP="00025B9A">
      <w:pPr>
        <w:jc w:val="both"/>
        <w:rPr>
          <w:rFonts w:ascii="Arial" w:hAnsi="Arial" w:cs="Arial"/>
          <w:sz w:val="24"/>
          <w:szCs w:val="24"/>
        </w:rPr>
      </w:pPr>
      <w:r w:rsidRPr="00025B9A">
        <w:rPr>
          <w:rFonts w:ascii="Arial" w:hAnsi="Arial" w:cs="Arial"/>
          <w:sz w:val="24"/>
          <w:szCs w:val="24"/>
        </w:rPr>
        <w:t>En general, el DSM es el sistema de clasificación de trastornos mentales con mayor aceptación, tanto para el diagnóstico clínico como para la investigación y la docencia y es importante tener presente que siempre debe ser utilizado por personas con experiencia clínica, ya que se usa como una guía que debe ser acompañada de juicio clínico además de los conocimientos profesionales y criterios éticos necesarios.</w:t>
      </w:r>
    </w:p>
    <w:p w14:paraId="63A58546" w14:textId="77777777" w:rsidR="00550076" w:rsidRPr="00550076" w:rsidRDefault="00550076" w:rsidP="00550076">
      <w:pPr>
        <w:shd w:val="clear" w:color="auto" w:fill="FFFFFF"/>
        <w:spacing w:after="0" w:line="330" w:lineRule="atLeast"/>
        <w:jc w:val="both"/>
        <w:rPr>
          <w:rFonts w:ascii="Arial" w:eastAsia="Times New Roman" w:hAnsi="Arial" w:cs="Arial"/>
          <w:color w:val="000000" w:themeColor="text1"/>
          <w:spacing w:val="2"/>
          <w:sz w:val="24"/>
          <w:szCs w:val="24"/>
          <w:lang w:eastAsia="es-ES"/>
        </w:rPr>
      </w:pPr>
      <w:r w:rsidRPr="00550076">
        <w:rPr>
          <w:rFonts w:ascii="Arial" w:eastAsia="Times New Roman" w:hAnsi="Arial" w:cs="Arial"/>
          <w:color w:val="000000" w:themeColor="text1"/>
          <w:spacing w:val="2"/>
          <w:sz w:val="24"/>
          <w:szCs w:val="24"/>
          <w:lang w:eastAsia="es-ES"/>
        </w:rPr>
        <w:t xml:space="preserve">En </w:t>
      </w:r>
      <w:r w:rsidR="00294B95">
        <w:rPr>
          <w:rFonts w:ascii="Arial" w:eastAsia="Times New Roman" w:hAnsi="Arial" w:cs="Arial"/>
          <w:color w:val="000000" w:themeColor="text1"/>
          <w:spacing w:val="2"/>
          <w:sz w:val="24"/>
          <w:szCs w:val="24"/>
          <w:lang w:eastAsia="es-ES"/>
        </w:rPr>
        <w:t xml:space="preserve">el DSM-V </w:t>
      </w:r>
      <w:r w:rsidRPr="00550076">
        <w:rPr>
          <w:rFonts w:ascii="Arial" w:eastAsia="Times New Roman" w:hAnsi="Arial" w:cs="Arial"/>
          <w:color w:val="000000" w:themeColor="text1"/>
          <w:spacing w:val="2"/>
          <w:sz w:val="24"/>
          <w:szCs w:val="24"/>
          <w:lang w:eastAsia="es-ES"/>
        </w:rPr>
        <w:t>se clasifican algunos tipos de trastornos según los síntomas específicos:</w:t>
      </w:r>
    </w:p>
    <w:p w14:paraId="5FF6BC6C" w14:textId="77777777" w:rsidR="00550076" w:rsidRPr="00550076" w:rsidRDefault="00591BD6" w:rsidP="00550076">
      <w:pPr>
        <w:numPr>
          <w:ilvl w:val="0"/>
          <w:numId w:val="5"/>
        </w:numPr>
        <w:shd w:val="clear" w:color="auto" w:fill="FFFFFF"/>
        <w:spacing w:after="0" w:line="330" w:lineRule="atLeast"/>
        <w:ind w:left="600"/>
        <w:jc w:val="both"/>
        <w:rPr>
          <w:rFonts w:ascii="Arial" w:eastAsia="Times New Roman" w:hAnsi="Arial" w:cs="Arial"/>
          <w:color w:val="000000" w:themeColor="text1"/>
          <w:spacing w:val="2"/>
          <w:sz w:val="24"/>
          <w:szCs w:val="24"/>
          <w:lang w:eastAsia="es-ES"/>
        </w:rPr>
      </w:pPr>
      <w:hyperlink r:id="rId10" w:anchor="v1028038_es" w:history="1">
        <w:r w:rsidR="00550076" w:rsidRPr="00550076">
          <w:rPr>
            <w:rFonts w:ascii="Arial" w:eastAsia="Times New Roman" w:hAnsi="Arial" w:cs="Arial"/>
            <w:color w:val="000000" w:themeColor="text1"/>
            <w:spacing w:val="2"/>
            <w:sz w:val="24"/>
            <w:szCs w:val="24"/>
            <w:lang w:eastAsia="es-ES"/>
          </w:rPr>
          <w:t>Trastorno depresivo mayor</w:t>
        </w:r>
      </w:hyperlink>
      <w:r w:rsidR="00550076" w:rsidRPr="00550076">
        <w:rPr>
          <w:rFonts w:ascii="Arial" w:eastAsia="Times New Roman" w:hAnsi="Arial" w:cs="Arial"/>
          <w:color w:val="000000" w:themeColor="text1"/>
          <w:spacing w:val="2"/>
          <w:sz w:val="24"/>
          <w:szCs w:val="24"/>
          <w:lang w:eastAsia="es-ES"/>
        </w:rPr>
        <w:t> (a menudo denominado depresión)</w:t>
      </w:r>
    </w:p>
    <w:p w14:paraId="17A76DF4" w14:textId="77777777" w:rsidR="00550076" w:rsidRPr="00550076" w:rsidRDefault="00591BD6" w:rsidP="00550076">
      <w:pPr>
        <w:numPr>
          <w:ilvl w:val="0"/>
          <w:numId w:val="5"/>
        </w:numPr>
        <w:shd w:val="clear" w:color="auto" w:fill="FFFFFF"/>
        <w:spacing w:after="0" w:line="330" w:lineRule="atLeast"/>
        <w:ind w:left="600"/>
        <w:jc w:val="both"/>
        <w:rPr>
          <w:rFonts w:ascii="Arial" w:eastAsia="Times New Roman" w:hAnsi="Arial" w:cs="Arial"/>
          <w:color w:val="000000" w:themeColor="text1"/>
          <w:spacing w:val="2"/>
          <w:sz w:val="24"/>
          <w:szCs w:val="24"/>
          <w:lang w:eastAsia="es-ES"/>
        </w:rPr>
      </w:pPr>
      <w:hyperlink r:id="rId11" w:anchor="v1028061_es" w:history="1">
        <w:r w:rsidR="00550076" w:rsidRPr="00550076">
          <w:rPr>
            <w:rFonts w:ascii="Arial" w:eastAsia="Times New Roman" w:hAnsi="Arial" w:cs="Arial"/>
            <w:color w:val="000000" w:themeColor="text1"/>
            <w:spacing w:val="2"/>
            <w:sz w:val="24"/>
            <w:szCs w:val="24"/>
            <w:lang w:eastAsia="es-ES"/>
          </w:rPr>
          <w:t>Trastorno depresivo persistente</w:t>
        </w:r>
      </w:hyperlink>
      <w:r w:rsidR="00550076" w:rsidRPr="00550076">
        <w:rPr>
          <w:rFonts w:ascii="Arial" w:eastAsia="Times New Roman" w:hAnsi="Arial" w:cs="Arial"/>
          <w:color w:val="000000" w:themeColor="text1"/>
          <w:spacing w:val="2"/>
          <w:sz w:val="24"/>
          <w:szCs w:val="24"/>
          <w:lang w:eastAsia="es-ES"/>
        </w:rPr>
        <w:t> (distimia)</w:t>
      </w:r>
    </w:p>
    <w:p w14:paraId="0D31E0A4" w14:textId="77777777" w:rsidR="00550076" w:rsidRPr="00550076" w:rsidRDefault="00591BD6" w:rsidP="00AD56E5">
      <w:pPr>
        <w:numPr>
          <w:ilvl w:val="0"/>
          <w:numId w:val="5"/>
        </w:numPr>
        <w:shd w:val="clear" w:color="auto" w:fill="FFFFFF"/>
        <w:spacing w:after="0" w:line="330" w:lineRule="atLeast"/>
        <w:ind w:left="600"/>
        <w:jc w:val="both"/>
        <w:rPr>
          <w:rFonts w:ascii="Arial" w:eastAsia="Times New Roman" w:hAnsi="Arial" w:cs="Arial"/>
          <w:color w:val="000000" w:themeColor="text1"/>
          <w:spacing w:val="2"/>
          <w:sz w:val="24"/>
          <w:szCs w:val="24"/>
          <w:lang w:eastAsia="es-ES"/>
        </w:rPr>
      </w:pPr>
      <w:hyperlink r:id="rId12" w:anchor="v1028065_es" w:history="1">
        <w:r w:rsidR="00550076" w:rsidRPr="00550076">
          <w:rPr>
            <w:rFonts w:ascii="Arial" w:eastAsia="Times New Roman" w:hAnsi="Arial" w:cs="Arial"/>
            <w:color w:val="000000" w:themeColor="text1"/>
            <w:spacing w:val="2"/>
            <w:sz w:val="24"/>
            <w:szCs w:val="24"/>
            <w:lang w:eastAsia="es-ES"/>
          </w:rPr>
          <w:t>Otro trastorno depresivo especificado o no especificado</w:t>
        </w:r>
      </w:hyperlink>
    </w:p>
    <w:p w14:paraId="4D83B37E" w14:textId="77777777" w:rsidR="00550076" w:rsidRDefault="00550076" w:rsidP="00025B9A">
      <w:pPr>
        <w:jc w:val="both"/>
        <w:rPr>
          <w:rFonts w:ascii="Arial" w:hAnsi="Arial" w:cs="Arial"/>
          <w:sz w:val="24"/>
          <w:szCs w:val="24"/>
        </w:rPr>
      </w:pPr>
    </w:p>
    <w:p w14:paraId="5089C04A" w14:textId="7E5E6DDF" w:rsidR="002A11AC" w:rsidRDefault="008446F7" w:rsidP="00025B9A">
      <w:pPr>
        <w:jc w:val="both"/>
        <w:rPr>
          <w:rFonts w:ascii="Arial" w:hAnsi="Arial" w:cs="Arial"/>
          <w:sz w:val="24"/>
          <w:szCs w:val="24"/>
        </w:rPr>
      </w:pPr>
      <w:commentRangeStart w:id="1"/>
      <w:r>
        <w:rPr>
          <w:rFonts w:ascii="Arial" w:hAnsi="Arial" w:cs="Arial"/>
          <w:sz w:val="24"/>
          <w:szCs w:val="24"/>
        </w:rPr>
        <w:t>Trastornos depresivos según el manual</w:t>
      </w:r>
      <w:r w:rsidR="00F92FA9">
        <w:rPr>
          <w:rFonts w:ascii="Arial" w:hAnsi="Arial" w:cs="Arial"/>
          <w:sz w:val="24"/>
          <w:szCs w:val="24"/>
        </w:rPr>
        <w:t xml:space="preserve"> DSM</w:t>
      </w:r>
      <w:commentRangeEnd w:id="1"/>
      <w:r w:rsidR="00252D6B">
        <w:rPr>
          <w:rStyle w:val="CommentReference"/>
        </w:rPr>
        <w:commentReference w:id="1"/>
      </w:r>
      <w:r w:rsidR="00252D6B">
        <w:rPr>
          <w:rFonts w:ascii="Arial" w:hAnsi="Arial" w:cs="Arial"/>
          <w:sz w:val="24"/>
          <w:szCs w:val="24"/>
        </w:rPr>
        <w:t xml:space="preserve"> </w:t>
      </w:r>
      <w:sdt>
        <w:sdtPr>
          <w:rPr>
            <w:rFonts w:ascii="Arial" w:hAnsi="Arial" w:cs="Arial"/>
            <w:sz w:val="24"/>
            <w:szCs w:val="24"/>
          </w:rPr>
          <w:id w:val="-673879117"/>
          <w:citation/>
        </w:sdtPr>
        <w:sdtContent>
          <w:r w:rsidR="00252D6B">
            <w:rPr>
              <w:rFonts w:ascii="Arial" w:hAnsi="Arial" w:cs="Arial"/>
              <w:sz w:val="24"/>
              <w:szCs w:val="24"/>
            </w:rPr>
            <w:fldChar w:fldCharType="begin"/>
          </w:r>
          <w:r w:rsidR="00252D6B">
            <w:rPr>
              <w:rFonts w:ascii="Arial" w:hAnsi="Arial" w:cs="Arial"/>
              <w:sz w:val="24"/>
              <w:szCs w:val="24"/>
              <w:lang w:val="es-MX"/>
            </w:rPr>
            <w:instrText xml:space="preserve"> CITATION Ame18 \l 2058 </w:instrText>
          </w:r>
          <w:r w:rsidR="00252D6B">
            <w:rPr>
              <w:rFonts w:ascii="Arial" w:hAnsi="Arial" w:cs="Arial"/>
              <w:sz w:val="24"/>
              <w:szCs w:val="24"/>
            </w:rPr>
            <w:fldChar w:fldCharType="separate"/>
          </w:r>
          <w:r w:rsidR="00591BD6" w:rsidRPr="00591BD6">
            <w:rPr>
              <w:rFonts w:ascii="Arial" w:hAnsi="Arial" w:cs="Arial"/>
              <w:noProof/>
              <w:sz w:val="24"/>
              <w:szCs w:val="24"/>
              <w:lang w:val="es-MX"/>
            </w:rPr>
            <w:t>(Publishing, 2018)</w:t>
          </w:r>
          <w:r w:rsidR="00252D6B">
            <w:rPr>
              <w:rFonts w:ascii="Arial" w:hAnsi="Arial" w:cs="Arial"/>
              <w:sz w:val="24"/>
              <w:szCs w:val="24"/>
            </w:rPr>
            <w:fldChar w:fldCharType="end"/>
          </w:r>
        </w:sdtContent>
      </w:sdt>
    </w:p>
    <w:tbl>
      <w:tblPr>
        <w:tblStyle w:val="GridTable4"/>
        <w:tblW w:w="0" w:type="auto"/>
        <w:tblLook w:val="04A0" w:firstRow="1" w:lastRow="0" w:firstColumn="1" w:lastColumn="0" w:noHBand="0" w:noVBand="1"/>
      </w:tblPr>
      <w:tblGrid>
        <w:gridCol w:w="1615"/>
        <w:gridCol w:w="6879"/>
      </w:tblGrid>
      <w:tr w:rsidR="00F92FA9" w14:paraId="4F1A9F1E" w14:textId="77777777" w:rsidTr="00F92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51C05E2" w14:textId="5A20E8DB" w:rsidR="00F92FA9" w:rsidRDefault="00F92FA9" w:rsidP="00025B9A">
            <w:pPr>
              <w:jc w:val="both"/>
              <w:rPr>
                <w:rFonts w:ascii="Arial" w:hAnsi="Arial" w:cs="Arial"/>
                <w:sz w:val="24"/>
                <w:szCs w:val="24"/>
              </w:rPr>
            </w:pPr>
            <w:r>
              <w:rPr>
                <w:rFonts w:ascii="Arial" w:hAnsi="Arial" w:cs="Arial"/>
                <w:sz w:val="24"/>
                <w:szCs w:val="24"/>
              </w:rPr>
              <w:t xml:space="preserve">Trastornos depresivos inducido por </w:t>
            </w:r>
            <w:proofErr w:type="spellStart"/>
            <w:r>
              <w:rPr>
                <w:rFonts w:ascii="Arial" w:hAnsi="Arial" w:cs="Arial"/>
                <w:sz w:val="24"/>
                <w:szCs w:val="24"/>
              </w:rPr>
              <w:t>sstancias</w:t>
            </w:r>
            <w:proofErr w:type="spellEnd"/>
            <w:r>
              <w:rPr>
                <w:rFonts w:ascii="Arial" w:hAnsi="Arial" w:cs="Arial"/>
                <w:sz w:val="24"/>
                <w:szCs w:val="24"/>
              </w:rPr>
              <w:t>/medicamentos: Nota de codificación (Octubre de 2018) (DSM-5, pág. 176; Guía de consulta, pág. 102)</w:t>
            </w:r>
          </w:p>
        </w:tc>
      </w:tr>
      <w:tr w:rsidR="00F92FA9" w14:paraId="05D45638" w14:textId="77777777" w:rsidTr="00F9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B573104" w14:textId="59E3FA97" w:rsidR="00F92FA9" w:rsidRPr="00F92FA9" w:rsidRDefault="00F92FA9" w:rsidP="00025B9A">
            <w:pPr>
              <w:jc w:val="both"/>
              <w:rPr>
                <w:rFonts w:ascii="Arial" w:hAnsi="Arial" w:cs="Arial"/>
                <w:sz w:val="20"/>
                <w:szCs w:val="20"/>
              </w:rPr>
            </w:pPr>
            <w:r w:rsidRPr="00F92FA9">
              <w:rPr>
                <w:rFonts w:ascii="Arial" w:hAnsi="Arial" w:cs="Arial"/>
                <w:sz w:val="20"/>
                <w:szCs w:val="20"/>
              </w:rPr>
              <w:t>Publicado</w:t>
            </w:r>
          </w:p>
        </w:tc>
        <w:tc>
          <w:tcPr>
            <w:tcW w:w="6879" w:type="dxa"/>
          </w:tcPr>
          <w:p w14:paraId="6B004E9A" w14:textId="716A9A63" w:rsidR="00F92FA9" w:rsidRPr="00F92FA9" w:rsidRDefault="00F92FA9" w:rsidP="00442A1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2FA9">
              <w:rPr>
                <w:rFonts w:ascii="Arial" w:hAnsi="Arial" w:cs="Arial"/>
                <w:b/>
                <w:bCs/>
                <w:sz w:val="20"/>
                <w:szCs w:val="20"/>
              </w:rPr>
              <w:t>Nota de codificación:</w:t>
            </w:r>
            <w:r w:rsidRPr="00F92FA9">
              <w:rPr>
                <w:rFonts w:ascii="Arial" w:hAnsi="Arial" w:cs="Arial"/>
                <w:sz w:val="20"/>
                <w:szCs w:val="20"/>
              </w:rPr>
              <w:t xml:space="preserve"> </w:t>
            </w:r>
            <w:r w:rsidRPr="00F92FA9">
              <w:rPr>
                <w:rFonts w:ascii="Arial" w:hAnsi="Arial" w:cs="Arial"/>
                <w:sz w:val="20"/>
                <w:szCs w:val="20"/>
              </w:rPr>
              <w:t>Los códigos CIE-9-MC y CIE-10-MC para los trastornos depresivos</w:t>
            </w:r>
            <w:r w:rsidR="00442A12">
              <w:rPr>
                <w:rFonts w:ascii="Arial" w:hAnsi="Arial" w:cs="Arial"/>
                <w:sz w:val="20"/>
                <w:szCs w:val="20"/>
              </w:rPr>
              <w:t xml:space="preserve"> </w:t>
            </w:r>
            <w:r w:rsidRPr="00F92FA9">
              <w:rPr>
                <w:rFonts w:ascii="Arial" w:hAnsi="Arial" w:cs="Arial"/>
                <w:sz w:val="20"/>
                <w:szCs w:val="20"/>
              </w:rPr>
              <w:t>por [sustancia/medicamento específico] se indican en la tabla siguiente. Obsérvese que el</w:t>
            </w:r>
            <w:r w:rsidR="00442A12">
              <w:rPr>
                <w:rFonts w:ascii="Arial" w:hAnsi="Arial" w:cs="Arial"/>
                <w:sz w:val="20"/>
                <w:szCs w:val="20"/>
              </w:rPr>
              <w:t xml:space="preserve"> </w:t>
            </w:r>
            <w:r w:rsidRPr="00F92FA9">
              <w:rPr>
                <w:rFonts w:ascii="Arial" w:hAnsi="Arial" w:cs="Arial"/>
                <w:sz w:val="20"/>
                <w:szCs w:val="20"/>
              </w:rPr>
              <w:t>código CIE-10-CM depende de si existe o no algún trastorno concurrente por consumo de</w:t>
            </w:r>
            <w:r w:rsidR="00442A12">
              <w:rPr>
                <w:rFonts w:ascii="Arial" w:hAnsi="Arial" w:cs="Arial"/>
                <w:sz w:val="20"/>
                <w:szCs w:val="20"/>
              </w:rPr>
              <w:t xml:space="preserve"> </w:t>
            </w:r>
            <w:r w:rsidRPr="00F92FA9">
              <w:rPr>
                <w:rFonts w:ascii="Arial" w:hAnsi="Arial" w:cs="Arial"/>
                <w:sz w:val="20"/>
                <w:szCs w:val="20"/>
              </w:rPr>
              <w:t>una sustancia de la misma clase. Si un trastorno leve por consumo de sustancias es</w:t>
            </w:r>
            <w:r w:rsidR="00442A12">
              <w:rPr>
                <w:rFonts w:ascii="Arial" w:hAnsi="Arial" w:cs="Arial"/>
                <w:sz w:val="20"/>
                <w:szCs w:val="20"/>
              </w:rPr>
              <w:t xml:space="preserve"> </w:t>
            </w:r>
            <w:r w:rsidRPr="00F92FA9">
              <w:rPr>
                <w:rFonts w:ascii="Arial" w:hAnsi="Arial" w:cs="Arial"/>
                <w:sz w:val="20"/>
                <w:szCs w:val="20"/>
              </w:rPr>
              <w:t>concomitante con el trastorno inducido por sustancias.</w:t>
            </w:r>
          </w:p>
        </w:tc>
      </w:tr>
      <w:tr w:rsidR="00F92FA9" w14:paraId="2C8E124C" w14:textId="77777777" w:rsidTr="00F92FA9">
        <w:tc>
          <w:tcPr>
            <w:cnfStyle w:val="001000000000" w:firstRow="0" w:lastRow="0" w:firstColumn="1" w:lastColumn="0" w:oddVBand="0" w:evenVBand="0" w:oddHBand="0" w:evenHBand="0" w:firstRowFirstColumn="0" w:firstRowLastColumn="0" w:lastRowFirstColumn="0" w:lastRowLastColumn="0"/>
            <w:tcW w:w="1615" w:type="dxa"/>
          </w:tcPr>
          <w:p w14:paraId="3DFC67F4" w14:textId="19E69522" w:rsidR="00F92FA9" w:rsidRPr="00F92FA9" w:rsidRDefault="00F92FA9" w:rsidP="00025B9A">
            <w:pPr>
              <w:jc w:val="both"/>
              <w:rPr>
                <w:rFonts w:ascii="Arial" w:hAnsi="Arial" w:cs="Arial"/>
                <w:sz w:val="20"/>
                <w:szCs w:val="20"/>
              </w:rPr>
            </w:pPr>
            <w:r w:rsidRPr="00F92FA9">
              <w:rPr>
                <w:rFonts w:ascii="Arial" w:hAnsi="Arial" w:cs="Arial"/>
                <w:sz w:val="20"/>
                <w:szCs w:val="20"/>
              </w:rPr>
              <w:t>Actualizado</w:t>
            </w:r>
          </w:p>
        </w:tc>
        <w:tc>
          <w:tcPr>
            <w:tcW w:w="6879" w:type="dxa"/>
          </w:tcPr>
          <w:p w14:paraId="56F8CFEF" w14:textId="0A0352FD" w:rsidR="00F92FA9" w:rsidRPr="00F92FA9" w:rsidRDefault="00F92FA9" w:rsidP="00F92FA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2FA9">
              <w:rPr>
                <w:rFonts w:ascii="Arial" w:hAnsi="Arial" w:cs="Arial"/>
                <w:b/>
                <w:bCs/>
                <w:sz w:val="20"/>
                <w:szCs w:val="20"/>
              </w:rPr>
              <w:t>Nota de codificación:</w:t>
            </w:r>
            <w:r w:rsidRPr="00F92FA9">
              <w:rPr>
                <w:rFonts w:ascii="Arial" w:hAnsi="Arial" w:cs="Arial"/>
                <w:sz w:val="20"/>
                <w:szCs w:val="20"/>
              </w:rPr>
              <w:t xml:space="preserve"> Los códigos CIE-9-MC y CIE-10-MC para los trastornos depresivos</w:t>
            </w:r>
            <w:r>
              <w:rPr>
                <w:rFonts w:ascii="Arial" w:hAnsi="Arial" w:cs="Arial"/>
                <w:sz w:val="20"/>
                <w:szCs w:val="20"/>
              </w:rPr>
              <w:t xml:space="preserve"> </w:t>
            </w:r>
            <w:r w:rsidRPr="00F92FA9">
              <w:rPr>
                <w:rFonts w:ascii="Arial" w:hAnsi="Arial" w:cs="Arial"/>
                <w:sz w:val="20"/>
                <w:szCs w:val="20"/>
              </w:rPr>
              <w:t>por [sustancia/medicamento específico] se indican en la tabla siguiente. Obsérvese que el</w:t>
            </w:r>
            <w:r>
              <w:rPr>
                <w:rFonts w:ascii="Arial" w:hAnsi="Arial" w:cs="Arial"/>
                <w:sz w:val="20"/>
                <w:szCs w:val="20"/>
              </w:rPr>
              <w:t xml:space="preserve"> </w:t>
            </w:r>
            <w:r w:rsidRPr="00F92FA9">
              <w:rPr>
                <w:rFonts w:ascii="Arial" w:hAnsi="Arial" w:cs="Arial"/>
                <w:sz w:val="20"/>
                <w:szCs w:val="20"/>
              </w:rPr>
              <w:t>código CIE-10-CM depende de si existe o no algún trastorno concurrente por consumo de</w:t>
            </w:r>
            <w:r>
              <w:rPr>
                <w:rFonts w:ascii="Arial" w:hAnsi="Arial" w:cs="Arial"/>
                <w:sz w:val="20"/>
                <w:szCs w:val="20"/>
              </w:rPr>
              <w:t xml:space="preserve"> </w:t>
            </w:r>
            <w:r w:rsidRPr="00F92FA9">
              <w:rPr>
                <w:rFonts w:ascii="Arial" w:hAnsi="Arial" w:cs="Arial"/>
                <w:sz w:val="20"/>
                <w:szCs w:val="20"/>
              </w:rPr>
              <w:t>una sustancia de la misma clase. En todo caso, no se utiliza un diagnóstico aparte de un</w:t>
            </w:r>
            <w:r>
              <w:rPr>
                <w:rFonts w:ascii="Arial" w:hAnsi="Arial" w:cs="Arial"/>
                <w:sz w:val="20"/>
                <w:szCs w:val="20"/>
              </w:rPr>
              <w:t xml:space="preserve"> </w:t>
            </w:r>
            <w:r w:rsidRPr="00F92FA9">
              <w:rPr>
                <w:rFonts w:ascii="Arial" w:hAnsi="Arial" w:cs="Arial"/>
                <w:sz w:val="20"/>
                <w:szCs w:val="20"/>
              </w:rPr>
              <w:t>trastorno por consumo de sustancias. Si un trastorno leve por consumo de sustancias es</w:t>
            </w:r>
          </w:p>
          <w:p w14:paraId="172CCBAB" w14:textId="224DE17D" w:rsidR="00F92FA9" w:rsidRPr="00F92FA9" w:rsidRDefault="00F92FA9" w:rsidP="00F92FA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2FA9">
              <w:rPr>
                <w:rFonts w:ascii="Arial" w:hAnsi="Arial" w:cs="Arial"/>
                <w:sz w:val="20"/>
                <w:szCs w:val="20"/>
              </w:rPr>
              <w:t>concomitante con el trastorno inducido por sustancias.</w:t>
            </w:r>
          </w:p>
        </w:tc>
      </w:tr>
      <w:tr w:rsidR="00F92FA9" w14:paraId="2664DFC7" w14:textId="77777777" w:rsidTr="00F9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160C9C5" w14:textId="3A325331" w:rsidR="00F92FA9" w:rsidRPr="00F92FA9" w:rsidRDefault="00F92FA9" w:rsidP="00025B9A">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59297470" w14:textId="65E2FEC2" w:rsidR="00F92FA9" w:rsidRPr="00F92FA9" w:rsidRDefault="008D2CDB" w:rsidP="008D2C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D2CDB">
              <w:rPr>
                <w:rFonts w:ascii="Arial" w:hAnsi="Arial" w:cs="Arial"/>
                <w:sz w:val="20"/>
                <w:szCs w:val="20"/>
              </w:rPr>
              <w:t>Si existe o no un trastorno depresivo inducido por sustancias/medicamentos concomitante</w:t>
            </w:r>
            <w:r>
              <w:rPr>
                <w:rFonts w:ascii="Arial" w:hAnsi="Arial" w:cs="Arial"/>
                <w:sz w:val="20"/>
                <w:szCs w:val="20"/>
              </w:rPr>
              <w:t xml:space="preserve"> </w:t>
            </w:r>
            <w:r w:rsidRPr="008D2CDB">
              <w:rPr>
                <w:rFonts w:ascii="Arial" w:hAnsi="Arial" w:cs="Arial"/>
                <w:sz w:val="20"/>
                <w:szCs w:val="20"/>
              </w:rPr>
              <w:t>con un trastorno por uso de sustancias está incluido en el código CIE-10-MC; por tanto, es</w:t>
            </w:r>
            <w:r>
              <w:rPr>
                <w:rFonts w:ascii="Arial" w:hAnsi="Arial" w:cs="Arial"/>
                <w:sz w:val="20"/>
                <w:szCs w:val="20"/>
              </w:rPr>
              <w:t xml:space="preserve"> </w:t>
            </w:r>
            <w:r w:rsidRPr="008D2CDB">
              <w:rPr>
                <w:rFonts w:ascii="Arial" w:hAnsi="Arial" w:cs="Arial"/>
                <w:sz w:val="20"/>
                <w:szCs w:val="20"/>
              </w:rPr>
              <w:t>innecesario un diagnóstico (y código) adicional de trastorno por uso de sustancias. Se ha</w:t>
            </w:r>
            <w:r>
              <w:rPr>
                <w:rFonts w:ascii="Arial" w:hAnsi="Arial" w:cs="Arial"/>
                <w:sz w:val="20"/>
                <w:szCs w:val="20"/>
              </w:rPr>
              <w:t xml:space="preserve"> </w:t>
            </w:r>
            <w:r w:rsidRPr="008D2CDB">
              <w:rPr>
                <w:rFonts w:ascii="Arial" w:hAnsi="Arial" w:cs="Arial"/>
                <w:sz w:val="20"/>
                <w:szCs w:val="20"/>
              </w:rPr>
              <w:t>añadido una declaración específica para subrayar este hecho.</w:t>
            </w:r>
          </w:p>
        </w:tc>
      </w:tr>
    </w:tbl>
    <w:p w14:paraId="1CF60B16" w14:textId="2F333D20" w:rsidR="00F92FA9" w:rsidRDefault="00F92FA9" w:rsidP="00025B9A">
      <w:pPr>
        <w:jc w:val="both"/>
        <w:rPr>
          <w:rFonts w:ascii="Arial" w:hAnsi="Arial" w:cs="Arial"/>
          <w:sz w:val="24"/>
          <w:szCs w:val="24"/>
        </w:rPr>
      </w:pPr>
    </w:p>
    <w:tbl>
      <w:tblPr>
        <w:tblStyle w:val="GridTable4"/>
        <w:tblW w:w="0" w:type="auto"/>
        <w:tblLook w:val="04A0" w:firstRow="1" w:lastRow="0" w:firstColumn="1" w:lastColumn="0" w:noHBand="0" w:noVBand="1"/>
      </w:tblPr>
      <w:tblGrid>
        <w:gridCol w:w="1615"/>
        <w:gridCol w:w="6879"/>
      </w:tblGrid>
      <w:tr w:rsidR="00B01707" w14:paraId="34D0E18C" w14:textId="77777777" w:rsidTr="0014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61593B8" w14:textId="5B20DB56" w:rsidR="00B01707" w:rsidRDefault="007270EF" w:rsidP="007270EF">
            <w:pPr>
              <w:jc w:val="both"/>
              <w:rPr>
                <w:rFonts w:ascii="Arial" w:hAnsi="Arial" w:cs="Arial"/>
                <w:sz w:val="24"/>
                <w:szCs w:val="24"/>
              </w:rPr>
            </w:pPr>
            <w:r w:rsidRPr="007270EF">
              <w:rPr>
                <w:rFonts w:ascii="Arial" w:hAnsi="Arial" w:cs="Arial"/>
                <w:sz w:val="24"/>
                <w:szCs w:val="24"/>
              </w:rPr>
              <w:lastRenderedPageBreak/>
              <w:t>Otro trastorno depresivo especificado [octubre de 2018]</w:t>
            </w:r>
            <w:r>
              <w:rPr>
                <w:rFonts w:ascii="Arial" w:hAnsi="Arial" w:cs="Arial"/>
                <w:sz w:val="24"/>
                <w:szCs w:val="24"/>
              </w:rPr>
              <w:t xml:space="preserve"> </w:t>
            </w:r>
            <w:r w:rsidRPr="007270EF">
              <w:rPr>
                <w:rFonts w:ascii="Arial" w:hAnsi="Arial" w:cs="Arial"/>
                <w:sz w:val="24"/>
                <w:szCs w:val="24"/>
              </w:rPr>
              <w:t>(DSM-5, pág. 183; Guía de consulta, pág. 106)</w:t>
            </w:r>
          </w:p>
        </w:tc>
      </w:tr>
      <w:tr w:rsidR="00B01707" w14:paraId="13050B88"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697A52"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Publicado</w:t>
            </w:r>
          </w:p>
        </w:tc>
        <w:tc>
          <w:tcPr>
            <w:tcW w:w="6879" w:type="dxa"/>
          </w:tcPr>
          <w:p w14:paraId="05867A0E" w14:textId="17B4D39B" w:rsidR="00B01707" w:rsidRPr="00F92FA9" w:rsidRDefault="007270EF" w:rsidP="007270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70EF">
              <w:rPr>
                <w:rFonts w:ascii="Arial" w:hAnsi="Arial" w:cs="Arial"/>
                <w:sz w:val="20"/>
                <w:szCs w:val="20"/>
              </w:rPr>
              <w:t>Esta categoría se aplica a presentaciones en las que predominan los síntomas</w:t>
            </w:r>
            <w:r>
              <w:rPr>
                <w:rFonts w:ascii="Arial" w:hAnsi="Arial" w:cs="Arial"/>
                <w:sz w:val="20"/>
                <w:szCs w:val="20"/>
              </w:rPr>
              <w:t xml:space="preserve"> </w:t>
            </w:r>
            <w:r w:rsidRPr="007270EF">
              <w:rPr>
                <w:rFonts w:ascii="Arial" w:hAnsi="Arial" w:cs="Arial"/>
                <w:sz w:val="20"/>
                <w:szCs w:val="20"/>
              </w:rPr>
              <w:t>característicos de un trastorno depresivo que causan malestar clínicamente significativo o</w:t>
            </w:r>
            <w:r>
              <w:rPr>
                <w:rFonts w:ascii="Arial" w:hAnsi="Arial" w:cs="Arial"/>
                <w:sz w:val="20"/>
                <w:szCs w:val="20"/>
              </w:rPr>
              <w:t xml:space="preserve"> </w:t>
            </w:r>
            <w:r w:rsidRPr="007270EF">
              <w:rPr>
                <w:rFonts w:ascii="Arial" w:hAnsi="Arial" w:cs="Arial"/>
                <w:sz w:val="20"/>
                <w:szCs w:val="20"/>
              </w:rPr>
              <w:t>problemas en los ámbitos social, laboral u otros campos importantes del funcionamiento</w:t>
            </w:r>
            <w:r>
              <w:rPr>
                <w:rFonts w:ascii="Arial" w:hAnsi="Arial" w:cs="Arial"/>
                <w:sz w:val="20"/>
                <w:szCs w:val="20"/>
              </w:rPr>
              <w:t xml:space="preserve"> </w:t>
            </w:r>
            <w:r w:rsidRPr="007270EF">
              <w:rPr>
                <w:rFonts w:ascii="Arial" w:hAnsi="Arial" w:cs="Arial"/>
                <w:sz w:val="20"/>
                <w:szCs w:val="20"/>
              </w:rPr>
              <w:t>pero que no cumplen todos los criterios de ninguno de los trastornos de la categoría</w:t>
            </w:r>
            <w:r>
              <w:rPr>
                <w:rFonts w:ascii="Arial" w:hAnsi="Arial" w:cs="Arial"/>
                <w:sz w:val="20"/>
                <w:szCs w:val="20"/>
              </w:rPr>
              <w:t xml:space="preserve"> </w:t>
            </w:r>
            <w:r w:rsidRPr="007270EF">
              <w:rPr>
                <w:rFonts w:ascii="Arial" w:hAnsi="Arial" w:cs="Arial"/>
                <w:sz w:val="20"/>
                <w:szCs w:val="20"/>
              </w:rPr>
              <w:t>diagnóstica de los trastornos depresivos.</w:t>
            </w:r>
          </w:p>
        </w:tc>
      </w:tr>
      <w:tr w:rsidR="00B01707" w14:paraId="3D388289" w14:textId="77777777" w:rsidTr="00142D8E">
        <w:tc>
          <w:tcPr>
            <w:cnfStyle w:val="001000000000" w:firstRow="0" w:lastRow="0" w:firstColumn="1" w:lastColumn="0" w:oddVBand="0" w:evenVBand="0" w:oddHBand="0" w:evenHBand="0" w:firstRowFirstColumn="0" w:firstRowLastColumn="0" w:lastRowFirstColumn="0" w:lastRowLastColumn="0"/>
            <w:tcW w:w="1615" w:type="dxa"/>
          </w:tcPr>
          <w:p w14:paraId="43982CD5"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Actualizado</w:t>
            </w:r>
          </w:p>
        </w:tc>
        <w:tc>
          <w:tcPr>
            <w:tcW w:w="6879" w:type="dxa"/>
          </w:tcPr>
          <w:p w14:paraId="601FC0E9" w14:textId="3937541B" w:rsidR="00B01707" w:rsidRPr="00F92FA9" w:rsidRDefault="007270EF" w:rsidP="007270E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70EF">
              <w:rPr>
                <w:rFonts w:ascii="Arial" w:hAnsi="Arial" w:cs="Arial"/>
                <w:sz w:val="20"/>
                <w:szCs w:val="20"/>
              </w:rPr>
              <w:t>Esta categoría se aplica a presentaciones en las que predominan los síntomas</w:t>
            </w:r>
            <w:r>
              <w:rPr>
                <w:rFonts w:ascii="Arial" w:hAnsi="Arial" w:cs="Arial"/>
                <w:sz w:val="20"/>
                <w:szCs w:val="20"/>
              </w:rPr>
              <w:t xml:space="preserve"> </w:t>
            </w:r>
            <w:r w:rsidRPr="007270EF">
              <w:rPr>
                <w:rFonts w:ascii="Arial" w:hAnsi="Arial" w:cs="Arial"/>
                <w:sz w:val="20"/>
                <w:szCs w:val="20"/>
              </w:rPr>
              <w:t>característicos de un trastorno depresivo que causan malestar clínicamente significativo o</w:t>
            </w:r>
            <w:r>
              <w:rPr>
                <w:rFonts w:ascii="Arial" w:hAnsi="Arial" w:cs="Arial"/>
                <w:sz w:val="20"/>
                <w:szCs w:val="20"/>
              </w:rPr>
              <w:t xml:space="preserve"> </w:t>
            </w:r>
            <w:r w:rsidRPr="007270EF">
              <w:rPr>
                <w:rFonts w:ascii="Arial" w:hAnsi="Arial" w:cs="Arial"/>
                <w:sz w:val="20"/>
                <w:szCs w:val="20"/>
              </w:rPr>
              <w:t>problemas en los ámbitos social, laboral u otros campos importantes del funcionamiento,</w:t>
            </w:r>
            <w:r>
              <w:rPr>
                <w:rFonts w:ascii="Arial" w:hAnsi="Arial" w:cs="Arial"/>
                <w:sz w:val="20"/>
                <w:szCs w:val="20"/>
              </w:rPr>
              <w:t xml:space="preserve"> </w:t>
            </w:r>
            <w:r w:rsidRPr="007270EF">
              <w:rPr>
                <w:rFonts w:ascii="Arial" w:hAnsi="Arial" w:cs="Arial"/>
                <w:sz w:val="20"/>
                <w:szCs w:val="20"/>
              </w:rPr>
              <w:t>pero que no cumplen todos los criterios de ninguno de los trastornos de la categoría</w:t>
            </w:r>
            <w:r>
              <w:rPr>
                <w:rFonts w:ascii="Arial" w:hAnsi="Arial" w:cs="Arial"/>
                <w:sz w:val="20"/>
                <w:szCs w:val="20"/>
              </w:rPr>
              <w:t xml:space="preserve"> </w:t>
            </w:r>
            <w:r w:rsidRPr="007270EF">
              <w:rPr>
                <w:rFonts w:ascii="Arial" w:hAnsi="Arial" w:cs="Arial"/>
                <w:sz w:val="20"/>
                <w:szCs w:val="20"/>
              </w:rPr>
              <w:t>diagnóstica de los trastornos depresivos, y que no cumplen los criterios para trastorno de</w:t>
            </w:r>
            <w:r>
              <w:rPr>
                <w:rFonts w:ascii="Arial" w:hAnsi="Arial" w:cs="Arial"/>
                <w:sz w:val="20"/>
                <w:szCs w:val="20"/>
              </w:rPr>
              <w:t xml:space="preserve"> </w:t>
            </w:r>
            <w:r w:rsidRPr="007270EF">
              <w:rPr>
                <w:rFonts w:ascii="Arial" w:hAnsi="Arial" w:cs="Arial"/>
                <w:sz w:val="20"/>
                <w:szCs w:val="20"/>
              </w:rPr>
              <w:t>adaptación con estado de ánimo deprimido o trastorno de adaptación con ansiedad mixta y</w:t>
            </w:r>
            <w:r>
              <w:rPr>
                <w:rFonts w:ascii="Arial" w:hAnsi="Arial" w:cs="Arial"/>
                <w:sz w:val="20"/>
                <w:szCs w:val="20"/>
              </w:rPr>
              <w:t xml:space="preserve"> </w:t>
            </w:r>
            <w:r w:rsidRPr="007270EF">
              <w:rPr>
                <w:rFonts w:ascii="Arial" w:hAnsi="Arial" w:cs="Arial"/>
                <w:sz w:val="20"/>
                <w:szCs w:val="20"/>
              </w:rPr>
              <w:t>estado de ánimo deprimido</w:t>
            </w:r>
          </w:p>
        </w:tc>
      </w:tr>
      <w:tr w:rsidR="00B01707" w14:paraId="364D3457"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F49E15"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39DEE03C" w14:textId="0FABDF51" w:rsidR="00B01707" w:rsidRPr="00F92FA9" w:rsidRDefault="007270EF" w:rsidP="007270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70EF">
              <w:rPr>
                <w:rFonts w:ascii="Arial" w:hAnsi="Arial" w:cs="Arial"/>
                <w:sz w:val="20"/>
                <w:szCs w:val="20"/>
              </w:rPr>
              <w:t>El texto añadido incluye la exclusión para trastorno de adaptación adicional de forma</w:t>
            </w:r>
            <w:r>
              <w:rPr>
                <w:rFonts w:ascii="Arial" w:hAnsi="Arial" w:cs="Arial"/>
                <w:sz w:val="20"/>
                <w:szCs w:val="20"/>
              </w:rPr>
              <w:t xml:space="preserve"> </w:t>
            </w:r>
            <w:r w:rsidRPr="007270EF">
              <w:rPr>
                <w:rFonts w:ascii="Arial" w:hAnsi="Arial" w:cs="Arial"/>
                <w:sz w:val="20"/>
                <w:szCs w:val="20"/>
              </w:rPr>
              <w:t>correcta</w:t>
            </w:r>
            <w:r>
              <w:rPr>
                <w:rFonts w:ascii="Arial" w:hAnsi="Arial" w:cs="Arial"/>
                <w:sz w:val="20"/>
                <w:szCs w:val="20"/>
              </w:rPr>
              <w:t>.</w:t>
            </w:r>
          </w:p>
        </w:tc>
      </w:tr>
    </w:tbl>
    <w:p w14:paraId="5BBCD3C8" w14:textId="284511E7" w:rsidR="00B01707" w:rsidRDefault="00B01707" w:rsidP="00025B9A">
      <w:pPr>
        <w:jc w:val="both"/>
        <w:rPr>
          <w:rFonts w:ascii="Arial" w:hAnsi="Arial" w:cs="Arial"/>
          <w:sz w:val="24"/>
          <w:szCs w:val="24"/>
        </w:rPr>
      </w:pPr>
    </w:p>
    <w:tbl>
      <w:tblPr>
        <w:tblStyle w:val="GridTable4"/>
        <w:tblW w:w="0" w:type="auto"/>
        <w:tblLook w:val="04A0" w:firstRow="1" w:lastRow="0" w:firstColumn="1" w:lastColumn="0" w:noHBand="0" w:noVBand="1"/>
      </w:tblPr>
      <w:tblGrid>
        <w:gridCol w:w="1615"/>
        <w:gridCol w:w="6879"/>
      </w:tblGrid>
      <w:tr w:rsidR="00B01707" w14:paraId="4C553829" w14:textId="77777777" w:rsidTr="0014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0EDC2C1" w14:textId="7EC1521F" w:rsidR="00B01707" w:rsidRDefault="00382C4C" w:rsidP="00382C4C">
            <w:pPr>
              <w:jc w:val="both"/>
              <w:rPr>
                <w:rFonts w:ascii="Arial" w:hAnsi="Arial" w:cs="Arial"/>
                <w:sz w:val="24"/>
                <w:szCs w:val="24"/>
              </w:rPr>
            </w:pPr>
            <w:r w:rsidRPr="00382C4C">
              <w:rPr>
                <w:rFonts w:ascii="Arial" w:hAnsi="Arial" w:cs="Arial"/>
                <w:sz w:val="24"/>
                <w:szCs w:val="24"/>
              </w:rPr>
              <w:t>Trastorno depresivo no especificado [octubre de 2018]</w:t>
            </w:r>
            <w:r>
              <w:rPr>
                <w:rFonts w:ascii="Arial" w:hAnsi="Arial" w:cs="Arial"/>
                <w:sz w:val="24"/>
                <w:szCs w:val="24"/>
              </w:rPr>
              <w:t xml:space="preserve"> </w:t>
            </w:r>
            <w:r w:rsidRPr="00382C4C">
              <w:rPr>
                <w:rFonts w:ascii="Arial" w:hAnsi="Arial" w:cs="Arial"/>
                <w:sz w:val="24"/>
                <w:szCs w:val="24"/>
              </w:rPr>
              <w:t>(DSM-5, pág. 184; Guía de consulta, pág. 107)</w:t>
            </w:r>
          </w:p>
        </w:tc>
      </w:tr>
      <w:tr w:rsidR="00B01707" w14:paraId="3CE9865A"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C5852C2"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Publicado</w:t>
            </w:r>
          </w:p>
        </w:tc>
        <w:tc>
          <w:tcPr>
            <w:tcW w:w="6879" w:type="dxa"/>
          </w:tcPr>
          <w:p w14:paraId="636BE2D2" w14:textId="123F143C" w:rsidR="00B01707" w:rsidRPr="00F92FA9" w:rsidRDefault="003552E7" w:rsidP="003552E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552E7">
              <w:rPr>
                <w:rFonts w:ascii="Arial" w:hAnsi="Arial" w:cs="Arial"/>
                <w:sz w:val="20"/>
                <w:szCs w:val="20"/>
              </w:rPr>
              <w:t>Esta categoría se aplica a presentaciones en las que predominan los síntomas</w:t>
            </w:r>
            <w:r>
              <w:rPr>
                <w:rFonts w:ascii="Arial" w:hAnsi="Arial" w:cs="Arial"/>
                <w:sz w:val="20"/>
                <w:szCs w:val="20"/>
              </w:rPr>
              <w:t xml:space="preserve"> </w:t>
            </w:r>
            <w:r w:rsidRPr="003552E7">
              <w:rPr>
                <w:rFonts w:ascii="Arial" w:hAnsi="Arial" w:cs="Arial"/>
                <w:sz w:val="20"/>
                <w:szCs w:val="20"/>
              </w:rPr>
              <w:t>característicos de un trastorno depresivo que causan malestar clínicamente significativo o</w:t>
            </w:r>
            <w:r>
              <w:rPr>
                <w:rFonts w:ascii="Arial" w:hAnsi="Arial" w:cs="Arial"/>
                <w:sz w:val="20"/>
                <w:szCs w:val="20"/>
              </w:rPr>
              <w:t xml:space="preserve"> </w:t>
            </w:r>
            <w:r w:rsidRPr="003552E7">
              <w:rPr>
                <w:rFonts w:ascii="Arial" w:hAnsi="Arial" w:cs="Arial"/>
                <w:sz w:val="20"/>
                <w:szCs w:val="20"/>
              </w:rPr>
              <w:t>problemas en los ámbitos social, laboral u otros campos importantes del funcionamiento</w:t>
            </w:r>
            <w:r>
              <w:rPr>
                <w:rFonts w:ascii="Arial" w:hAnsi="Arial" w:cs="Arial"/>
                <w:sz w:val="20"/>
                <w:szCs w:val="20"/>
              </w:rPr>
              <w:t xml:space="preserve"> </w:t>
            </w:r>
            <w:r w:rsidRPr="003552E7">
              <w:rPr>
                <w:rFonts w:ascii="Arial" w:hAnsi="Arial" w:cs="Arial"/>
                <w:sz w:val="20"/>
                <w:szCs w:val="20"/>
              </w:rPr>
              <w:t>pero que no cumplen todos los criterios de ninguno de los trastornos de la categoría</w:t>
            </w:r>
            <w:r>
              <w:rPr>
                <w:rFonts w:ascii="Arial" w:hAnsi="Arial" w:cs="Arial"/>
                <w:sz w:val="20"/>
                <w:szCs w:val="20"/>
              </w:rPr>
              <w:t xml:space="preserve"> </w:t>
            </w:r>
            <w:r w:rsidRPr="003552E7">
              <w:rPr>
                <w:rFonts w:ascii="Arial" w:hAnsi="Arial" w:cs="Arial"/>
                <w:sz w:val="20"/>
                <w:szCs w:val="20"/>
              </w:rPr>
              <w:t>diagnóstica de los trastornos depresivos.</w:t>
            </w:r>
          </w:p>
        </w:tc>
      </w:tr>
      <w:tr w:rsidR="00B01707" w14:paraId="01ED4FCB" w14:textId="77777777" w:rsidTr="00142D8E">
        <w:tc>
          <w:tcPr>
            <w:cnfStyle w:val="001000000000" w:firstRow="0" w:lastRow="0" w:firstColumn="1" w:lastColumn="0" w:oddVBand="0" w:evenVBand="0" w:oddHBand="0" w:evenHBand="0" w:firstRowFirstColumn="0" w:firstRowLastColumn="0" w:lastRowFirstColumn="0" w:lastRowLastColumn="0"/>
            <w:tcW w:w="1615" w:type="dxa"/>
          </w:tcPr>
          <w:p w14:paraId="65D41265"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Actualizado</w:t>
            </w:r>
          </w:p>
        </w:tc>
        <w:tc>
          <w:tcPr>
            <w:tcW w:w="6879" w:type="dxa"/>
          </w:tcPr>
          <w:p w14:paraId="10BEC737" w14:textId="54663B77" w:rsidR="00B01707" w:rsidRPr="00F92FA9" w:rsidRDefault="00923E54" w:rsidP="00923E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23E54">
              <w:rPr>
                <w:rFonts w:ascii="Arial" w:hAnsi="Arial" w:cs="Arial"/>
                <w:sz w:val="20"/>
                <w:szCs w:val="20"/>
              </w:rPr>
              <w:t>Esta categoría se aplica a presentaciones en las que predominan los síntomas</w:t>
            </w:r>
            <w:r>
              <w:rPr>
                <w:rFonts w:ascii="Arial" w:hAnsi="Arial" w:cs="Arial"/>
                <w:sz w:val="20"/>
                <w:szCs w:val="20"/>
              </w:rPr>
              <w:t xml:space="preserve"> </w:t>
            </w:r>
            <w:r w:rsidRPr="00923E54">
              <w:rPr>
                <w:rFonts w:ascii="Arial" w:hAnsi="Arial" w:cs="Arial"/>
                <w:sz w:val="20"/>
                <w:szCs w:val="20"/>
              </w:rPr>
              <w:t>característicos de un trastorno depresivo que causan malestar clínicamente significativo o</w:t>
            </w:r>
            <w:r>
              <w:rPr>
                <w:rFonts w:ascii="Arial" w:hAnsi="Arial" w:cs="Arial"/>
                <w:sz w:val="20"/>
                <w:szCs w:val="20"/>
              </w:rPr>
              <w:t xml:space="preserve"> </w:t>
            </w:r>
            <w:r w:rsidRPr="00923E54">
              <w:rPr>
                <w:rFonts w:ascii="Arial" w:hAnsi="Arial" w:cs="Arial"/>
                <w:sz w:val="20"/>
                <w:szCs w:val="20"/>
              </w:rPr>
              <w:t>problemas en los ámbitos social, laboral u otros campos importantes del funcionamiento,</w:t>
            </w:r>
            <w:r>
              <w:rPr>
                <w:rFonts w:ascii="Arial" w:hAnsi="Arial" w:cs="Arial"/>
                <w:sz w:val="20"/>
                <w:szCs w:val="20"/>
              </w:rPr>
              <w:t xml:space="preserve"> </w:t>
            </w:r>
            <w:r w:rsidRPr="00923E54">
              <w:rPr>
                <w:rFonts w:ascii="Arial" w:hAnsi="Arial" w:cs="Arial"/>
                <w:sz w:val="20"/>
                <w:szCs w:val="20"/>
              </w:rPr>
              <w:t>pero que no cumplen todos los criterios de ninguno de los trastornos de la categoría</w:t>
            </w:r>
            <w:r>
              <w:rPr>
                <w:rFonts w:ascii="Arial" w:hAnsi="Arial" w:cs="Arial"/>
                <w:sz w:val="20"/>
                <w:szCs w:val="20"/>
              </w:rPr>
              <w:t xml:space="preserve"> </w:t>
            </w:r>
            <w:r w:rsidRPr="00923E54">
              <w:rPr>
                <w:rFonts w:ascii="Arial" w:hAnsi="Arial" w:cs="Arial"/>
                <w:sz w:val="20"/>
                <w:szCs w:val="20"/>
              </w:rPr>
              <w:t>diagnóstica de los trastornos depresivos, y que no cumplen los criterios para trastorno de</w:t>
            </w:r>
            <w:r>
              <w:rPr>
                <w:rFonts w:ascii="Arial" w:hAnsi="Arial" w:cs="Arial"/>
                <w:sz w:val="20"/>
                <w:szCs w:val="20"/>
              </w:rPr>
              <w:t xml:space="preserve"> </w:t>
            </w:r>
            <w:r w:rsidRPr="00923E54">
              <w:rPr>
                <w:rFonts w:ascii="Arial" w:hAnsi="Arial" w:cs="Arial"/>
                <w:sz w:val="20"/>
                <w:szCs w:val="20"/>
              </w:rPr>
              <w:t>adaptación con estado de ánimo deprimido o trastorno de adaptación con ansiedad mixta y</w:t>
            </w:r>
            <w:r>
              <w:rPr>
                <w:rFonts w:ascii="Arial" w:hAnsi="Arial" w:cs="Arial"/>
                <w:sz w:val="20"/>
                <w:szCs w:val="20"/>
              </w:rPr>
              <w:t xml:space="preserve"> </w:t>
            </w:r>
            <w:r w:rsidRPr="00923E54">
              <w:rPr>
                <w:rFonts w:ascii="Arial" w:hAnsi="Arial" w:cs="Arial"/>
                <w:sz w:val="20"/>
                <w:szCs w:val="20"/>
              </w:rPr>
              <w:t>estado de ánimo deprimido.</w:t>
            </w:r>
          </w:p>
        </w:tc>
      </w:tr>
      <w:tr w:rsidR="00B01707" w14:paraId="70EAA7BA"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81AC4D0"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52A07663" w14:textId="7A001B21" w:rsidR="00B01707" w:rsidRPr="00F92FA9" w:rsidRDefault="008B1202" w:rsidP="0012119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B1202">
              <w:rPr>
                <w:rFonts w:ascii="Arial" w:hAnsi="Arial" w:cs="Arial"/>
                <w:sz w:val="20"/>
                <w:szCs w:val="20"/>
              </w:rPr>
              <w:t>El texto añadido incluye la exclusión para trastorno de adaptación adicional de forma</w:t>
            </w:r>
            <w:r w:rsidR="0012119A">
              <w:rPr>
                <w:rFonts w:ascii="Arial" w:hAnsi="Arial" w:cs="Arial"/>
                <w:sz w:val="20"/>
                <w:szCs w:val="20"/>
              </w:rPr>
              <w:t xml:space="preserve"> </w:t>
            </w:r>
            <w:r w:rsidRPr="008B1202">
              <w:rPr>
                <w:rFonts w:ascii="Arial" w:hAnsi="Arial" w:cs="Arial"/>
                <w:sz w:val="20"/>
                <w:szCs w:val="20"/>
              </w:rPr>
              <w:t>correcta.</w:t>
            </w:r>
          </w:p>
        </w:tc>
      </w:tr>
    </w:tbl>
    <w:p w14:paraId="7CCC9E9C" w14:textId="1F255C3D" w:rsidR="00B01707" w:rsidRDefault="00B01707" w:rsidP="00025B9A">
      <w:pPr>
        <w:jc w:val="both"/>
        <w:rPr>
          <w:rFonts w:ascii="Arial" w:hAnsi="Arial" w:cs="Arial"/>
          <w:sz w:val="24"/>
          <w:szCs w:val="24"/>
        </w:rPr>
      </w:pPr>
    </w:p>
    <w:tbl>
      <w:tblPr>
        <w:tblStyle w:val="GridTable4"/>
        <w:tblW w:w="0" w:type="auto"/>
        <w:tblLook w:val="04A0" w:firstRow="1" w:lastRow="0" w:firstColumn="1" w:lastColumn="0" w:noHBand="0" w:noVBand="1"/>
      </w:tblPr>
      <w:tblGrid>
        <w:gridCol w:w="1615"/>
        <w:gridCol w:w="6879"/>
      </w:tblGrid>
      <w:tr w:rsidR="00B01707" w14:paraId="4DC69C02" w14:textId="77777777" w:rsidTr="0014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DC0F011" w14:textId="38037E89" w:rsidR="00B01707" w:rsidRDefault="001E1093" w:rsidP="001E1093">
            <w:pPr>
              <w:jc w:val="both"/>
              <w:rPr>
                <w:rFonts w:ascii="Arial" w:hAnsi="Arial" w:cs="Arial"/>
                <w:sz w:val="24"/>
                <w:szCs w:val="24"/>
              </w:rPr>
            </w:pPr>
            <w:r w:rsidRPr="001E1093">
              <w:rPr>
                <w:rFonts w:ascii="Arial" w:hAnsi="Arial" w:cs="Arial"/>
                <w:sz w:val="24"/>
                <w:szCs w:val="24"/>
              </w:rPr>
              <w:t>Especificadores de trastornos depresivos (Trastorno de depresión mayor): especificador «con</w:t>
            </w:r>
            <w:r>
              <w:rPr>
                <w:rFonts w:ascii="Arial" w:hAnsi="Arial" w:cs="Arial"/>
                <w:sz w:val="24"/>
                <w:szCs w:val="24"/>
              </w:rPr>
              <w:t xml:space="preserve"> </w:t>
            </w:r>
            <w:r w:rsidRPr="001E1093">
              <w:rPr>
                <w:rFonts w:ascii="Arial" w:hAnsi="Arial" w:cs="Arial"/>
                <w:sz w:val="24"/>
                <w:szCs w:val="24"/>
              </w:rPr>
              <w:t>características mixtas», criterio A [agosto 2015]</w:t>
            </w:r>
            <w:r>
              <w:rPr>
                <w:rFonts w:ascii="Arial" w:hAnsi="Arial" w:cs="Arial"/>
                <w:sz w:val="24"/>
                <w:szCs w:val="24"/>
              </w:rPr>
              <w:t xml:space="preserve"> </w:t>
            </w:r>
            <w:r w:rsidRPr="001E1093">
              <w:rPr>
                <w:rFonts w:ascii="Arial" w:hAnsi="Arial" w:cs="Arial"/>
                <w:sz w:val="24"/>
                <w:szCs w:val="24"/>
              </w:rPr>
              <w:t>(DSM-5, pág. 184; Guía de consulta, pág. 108)</w:t>
            </w:r>
          </w:p>
        </w:tc>
      </w:tr>
      <w:tr w:rsidR="00B01707" w14:paraId="5D6659E6"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75BDEC7"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Publicado</w:t>
            </w:r>
          </w:p>
        </w:tc>
        <w:tc>
          <w:tcPr>
            <w:tcW w:w="6879" w:type="dxa"/>
          </w:tcPr>
          <w:p w14:paraId="7A7E6144" w14:textId="692E92D1" w:rsidR="00B01707" w:rsidRPr="00D85C4F" w:rsidRDefault="00D85C4F" w:rsidP="00D85C4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85C4F">
              <w:rPr>
                <w:rFonts w:ascii="Arial" w:hAnsi="Arial" w:cs="Arial"/>
                <w:sz w:val="20"/>
                <w:szCs w:val="20"/>
              </w:rPr>
              <w:t xml:space="preserve">A. Al menos tres de los síntomas maníacos/hipomaníacos siguientes están presentes </w:t>
            </w:r>
            <w:r w:rsidRPr="002649B1">
              <w:rPr>
                <w:rFonts w:ascii="Arial" w:hAnsi="Arial" w:cs="Arial"/>
                <w:color w:val="FF0000"/>
                <w:sz w:val="20"/>
                <w:szCs w:val="20"/>
                <w:highlight w:val="yellow"/>
              </w:rPr>
              <w:t>casi</w:t>
            </w:r>
            <w:r w:rsidRPr="002649B1">
              <w:rPr>
                <w:rFonts w:ascii="Arial" w:hAnsi="Arial" w:cs="Arial"/>
                <w:color w:val="FF0000"/>
                <w:sz w:val="20"/>
                <w:szCs w:val="20"/>
                <w:highlight w:val="yellow"/>
              </w:rPr>
              <w:t xml:space="preserve"> </w:t>
            </w:r>
            <w:r w:rsidRPr="002649B1">
              <w:rPr>
                <w:rFonts w:ascii="Arial" w:hAnsi="Arial" w:cs="Arial"/>
                <w:color w:val="FF0000"/>
                <w:sz w:val="20"/>
                <w:szCs w:val="20"/>
                <w:highlight w:val="yellow"/>
              </w:rPr>
              <w:t>todos los días</w:t>
            </w:r>
            <w:r w:rsidRPr="002649B1">
              <w:rPr>
                <w:rFonts w:ascii="Arial" w:hAnsi="Arial" w:cs="Arial"/>
                <w:color w:val="FF0000"/>
                <w:sz w:val="20"/>
                <w:szCs w:val="20"/>
              </w:rPr>
              <w:t xml:space="preserve"> </w:t>
            </w:r>
            <w:r w:rsidRPr="00D85C4F">
              <w:rPr>
                <w:rFonts w:ascii="Arial" w:hAnsi="Arial" w:cs="Arial"/>
                <w:sz w:val="20"/>
                <w:szCs w:val="20"/>
              </w:rPr>
              <w:t>durante la mayoría de los días de un episodio de depresión mayor:</w:t>
            </w:r>
          </w:p>
        </w:tc>
      </w:tr>
      <w:tr w:rsidR="00B01707" w14:paraId="1E6BC196" w14:textId="77777777" w:rsidTr="00142D8E">
        <w:tc>
          <w:tcPr>
            <w:cnfStyle w:val="001000000000" w:firstRow="0" w:lastRow="0" w:firstColumn="1" w:lastColumn="0" w:oddVBand="0" w:evenVBand="0" w:oddHBand="0" w:evenHBand="0" w:firstRowFirstColumn="0" w:firstRowLastColumn="0" w:lastRowFirstColumn="0" w:lastRowLastColumn="0"/>
            <w:tcW w:w="1615" w:type="dxa"/>
          </w:tcPr>
          <w:p w14:paraId="3A93B17C"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Actualizado</w:t>
            </w:r>
          </w:p>
        </w:tc>
        <w:tc>
          <w:tcPr>
            <w:tcW w:w="6879" w:type="dxa"/>
          </w:tcPr>
          <w:p w14:paraId="34AAFAFE" w14:textId="2F8CE186" w:rsidR="00B01707" w:rsidRPr="00D85C4F" w:rsidRDefault="00D85C4F" w:rsidP="002649B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85C4F">
              <w:rPr>
                <w:rFonts w:ascii="Arial" w:hAnsi="Arial" w:cs="Arial"/>
                <w:sz w:val="20"/>
                <w:szCs w:val="20"/>
              </w:rPr>
              <w:t>A. Al menos tres de los síntomas maníacos/hipomaníacos siguientes aparecen</w:t>
            </w:r>
            <w:r w:rsidR="002649B1">
              <w:rPr>
                <w:rFonts w:ascii="Arial" w:hAnsi="Arial" w:cs="Arial"/>
                <w:sz w:val="20"/>
                <w:szCs w:val="20"/>
              </w:rPr>
              <w:t xml:space="preserve"> </w:t>
            </w:r>
            <w:r w:rsidR="002649B1" w:rsidRPr="002649B1">
              <w:rPr>
                <w:rFonts w:ascii="Arial" w:hAnsi="Arial" w:cs="Arial"/>
                <w:sz w:val="20"/>
                <w:szCs w:val="20"/>
              </w:rPr>
              <w:t xml:space="preserve"> </w:t>
            </w:r>
            <w:r w:rsidR="002649B1" w:rsidRPr="002649B1">
              <w:rPr>
                <w:rFonts w:ascii="Arial" w:hAnsi="Arial" w:cs="Arial"/>
                <w:strike/>
                <w:color w:val="FF0000"/>
                <w:sz w:val="20"/>
                <w:szCs w:val="20"/>
                <w:highlight w:val="yellow"/>
              </w:rPr>
              <w:t>casi todos los</w:t>
            </w:r>
            <w:r w:rsidR="002649B1" w:rsidRPr="002649B1">
              <w:rPr>
                <w:rFonts w:ascii="Arial" w:hAnsi="Arial" w:cs="Arial"/>
                <w:strike/>
                <w:color w:val="FF0000"/>
                <w:sz w:val="20"/>
                <w:szCs w:val="20"/>
                <w:highlight w:val="yellow"/>
              </w:rPr>
              <w:t xml:space="preserve"> </w:t>
            </w:r>
            <w:r w:rsidR="002649B1" w:rsidRPr="002649B1">
              <w:rPr>
                <w:rFonts w:ascii="Arial" w:hAnsi="Arial" w:cs="Arial"/>
                <w:strike/>
                <w:color w:val="FF0000"/>
                <w:sz w:val="20"/>
                <w:szCs w:val="20"/>
                <w:highlight w:val="yellow"/>
              </w:rPr>
              <w:t>días</w:t>
            </w:r>
            <w:r w:rsidRPr="00D85C4F">
              <w:rPr>
                <w:rFonts w:ascii="Arial" w:hAnsi="Arial" w:cs="Arial"/>
                <w:sz w:val="20"/>
                <w:szCs w:val="20"/>
              </w:rPr>
              <w:t xml:space="preserve"> durante la mayoría de los días de un episodio de depresión mayor:</w:t>
            </w:r>
          </w:p>
        </w:tc>
      </w:tr>
      <w:tr w:rsidR="00B01707" w14:paraId="1D2BC26E"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6EE4CC5"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031D7C07" w14:textId="6943B299" w:rsidR="00B01707" w:rsidRPr="00F92FA9" w:rsidRDefault="0015672F" w:rsidP="00142D8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5672F">
              <w:rPr>
                <w:rFonts w:ascii="Arial" w:hAnsi="Arial" w:cs="Arial"/>
                <w:sz w:val="20"/>
                <w:szCs w:val="20"/>
              </w:rPr>
              <w:t>«Casi todos los días» en el criterio A para características mixtas es incorrecto</w:t>
            </w:r>
            <w:r w:rsidR="00C34D4B">
              <w:rPr>
                <w:rFonts w:ascii="Arial" w:hAnsi="Arial" w:cs="Arial"/>
                <w:sz w:val="20"/>
                <w:szCs w:val="20"/>
              </w:rPr>
              <w:t>.</w:t>
            </w:r>
          </w:p>
        </w:tc>
      </w:tr>
    </w:tbl>
    <w:p w14:paraId="77504701" w14:textId="68C952A4" w:rsidR="00B01707" w:rsidRDefault="00B01707" w:rsidP="00025B9A">
      <w:pPr>
        <w:jc w:val="both"/>
        <w:rPr>
          <w:rFonts w:ascii="Arial" w:hAnsi="Arial" w:cs="Arial"/>
          <w:sz w:val="24"/>
          <w:szCs w:val="24"/>
        </w:rPr>
      </w:pPr>
    </w:p>
    <w:p w14:paraId="0E745EE8" w14:textId="2169B164" w:rsidR="00492B3F" w:rsidRDefault="00492B3F" w:rsidP="00025B9A">
      <w:pPr>
        <w:jc w:val="both"/>
        <w:rPr>
          <w:rFonts w:ascii="Arial" w:hAnsi="Arial" w:cs="Arial"/>
          <w:sz w:val="24"/>
          <w:szCs w:val="24"/>
        </w:rPr>
      </w:pPr>
    </w:p>
    <w:p w14:paraId="6EC70B43" w14:textId="77777777" w:rsidR="00492B3F" w:rsidRDefault="00492B3F" w:rsidP="00025B9A">
      <w:pPr>
        <w:jc w:val="both"/>
        <w:rPr>
          <w:rFonts w:ascii="Arial" w:hAnsi="Arial" w:cs="Arial"/>
          <w:sz w:val="24"/>
          <w:szCs w:val="24"/>
        </w:rPr>
      </w:pPr>
    </w:p>
    <w:tbl>
      <w:tblPr>
        <w:tblStyle w:val="GridTable4"/>
        <w:tblW w:w="0" w:type="auto"/>
        <w:tblLook w:val="04A0" w:firstRow="1" w:lastRow="0" w:firstColumn="1" w:lastColumn="0" w:noHBand="0" w:noVBand="1"/>
      </w:tblPr>
      <w:tblGrid>
        <w:gridCol w:w="1615"/>
        <w:gridCol w:w="6879"/>
      </w:tblGrid>
      <w:tr w:rsidR="00492B3F" w14:paraId="62614BA8" w14:textId="77777777" w:rsidTr="0014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861936B" w14:textId="6BFCCB97" w:rsidR="00492B3F" w:rsidRDefault="00492B3F" w:rsidP="00492B3F">
            <w:pPr>
              <w:jc w:val="both"/>
              <w:rPr>
                <w:rFonts w:ascii="Arial" w:hAnsi="Arial" w:cs="Arial"/>
                <w:sz w:val="24"/>
                <w:szCs w:val="24"/>
              </w:rPr>
            </w:pPr>
            <w:r w:rsidRPr="00492B3F">
              <w:rPr>
                <w:rFonts w:ascii="Arial" w:hAnsi="Arial" w:cs="Arial"/>
                <w:sz w:val="24"/>
                <w:szCs w:val="24"/>
              </w:rPr>
              <w:lastRenderedPageBreak/>
              <w:t>Especificadores de trastornos depresivos (Trastorno de depresión mayor): Especificador «con patrón</w:t>
            </w:r>
            <w:r>
              <w:rPr>
                <w:rFonts w:ascii="Arial" w:hAnsi="Arial" w:cs="Arial"/>
                <w:sz w:val="24"/>
                <w:szCs w:val="24"/>
              </w:rPr>
              <w:t xml:space="preserve"> </w:t>
            </w:r>
            <w:r w:rsidRPr="00492B3F">
              <w:rPr>
                <w:rFonts w:ascii="Arial" w:hAnsi="Arial" w:cs="Arial"/>
                <w:sz w:val="24"/>
                <w:szCs w:val="24"/>
              </w:rPr>
              <w:t>estacional», Criterio B [octubre de 2018]</w:t>
            </w:r>
            <w:r>
              <w:rPr>
                <w:rFonts w:ascii="Arial" w:hAnsi="Arial" w:cs="Arial"/>
                <w:sz w:val="24"/>
                <w:szCs w:val="24"/>
              </w:rPr>
              <w:t xml:space="preserve"> </w:t>
            </w:r>
            <w:r w:rsidRPr="00492B3F">
              <w:rPr>
                <w:rFonts w:ascii="Arial" w:hAnsi="Arial" w:cs="Arial"/>
                <w:sz w:val="24"/>
                <w:szCs w:val="24"/>
              </w:rPr>
              <w:t>(DSM-5, pág. 187; Guía de consulta, pág. 113)</w:t>
            </w:r>
          </w:p>
        </w:tc>
      </w:tr>
      <w:tr w:rsidR="00492B3F" w14:paraId="626C016D"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9A0596D"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Publicado</w:t>
            </w:r>
          </w:p>
        </w:tc>
        <w:tc>
          <w:tcPr>
            <w:tcW w:w="6879" w:type="dxa"/>
          </w:tcPr>
          <w:p w14:paraId="27938BEE" w14:textId="389A7889" w:rsidR="00492B3F" w:rsidRPr="00D85C4F" w:rsidRDefault="00492B3F" w:rsidP="00492B3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92B3F">
              <w:rPr>
                <w:rFonts w:ascii="Arial" w:hAnsi="Arial" w:cs="Arial"/>
                <w:sz w:val="20"/>
                <w:szCs w:val="20"/>
              </w:rPr>
              <w:t>B. También se producen remisiones totales</w:t>
            </w:r>
            <w:r w:rsidR="00F80AAF">
              <w:rPr>
                <w:rFonts w:ascii="Arial" w:hAnsi="Arial" w:cs="Arial"/>
                <w:sz w:val="20"/>
                <w:szCs w:val="20"/>
              </w:rPr>
              <w:t xml:space="preserve"> </w:t>
            </w:r>
            <w:r w:rsidRPr="00492B3F">
              <w:rPr>
                <w:rFonts w:ascii="Arial" w:hAnsi="Arial" w:cs="Arial"/>
                <w:sz w:val="20"/>
                <w:szCs w:val="20"/>
              </w:rPr>
              <w:t>en un momento del año característico (p. ej., la depresión desaparece en</w:t>
            </w:r>
            <w:r>
              <w:rPr>
                <w:rFonts w:ascii="Arial" w:hAnsi="Arial" w:cs="Arial"/>
                <w:sz w:val="20"/>
                <w:szCs w:val="20"/>
              </w:rPr>
              <w:t xml:space="preserve"> </w:t>
            </w:r>
            <w:r w:rsidRPr="00492B3F">
              <w:rPr>
                <w:rFonts w:ascii="Arial" w:hAnsi="Arial" w:cs="Arial"/>
                <w:sz w:val="20"/>
                <w:szCs w:val="20"/>
              </w:rPr>
              <w:t>primavera).</w:t>
            </w:r>
          </w:p>
        </w:tc>
      </w:tr>
      <w:tr w:rsidR="00492B3F" w14:paraId="26E09F09" w14:textId="77777777" w:rsidTr="00142D8E">
        <w:tc>
          <w:tcPr>
            <w:cnfStyle w:val="001000000000" w:firstRow="0" w:lastRow="0" w:firstColumn="1" w:lastColumn="0" w:oddVBand="0" w:evenVBand="0" w:oddHBand="0" w:evenHBand="0" w:firstRowFirstColumn="0" w:firstRowLastColumn="0" w:lastRowFirstColumn="0" w:lastRowLastColumn="0"/>
            <w:tcW w:w="1615" w:type="dxa"/>
          </w:tcPr>
          <w:p w14:paraId="647F95E0"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Actualizado</w:t>
            </w:r>
          </w:p>
        </w:tc>
        <w:tc>
          <w:tcPr>
            <w:tcW w:w="6879" w:type="dxa"/>
          </w:tcPr>
          <w:p w14:paraId="0DA5A611" w14:textId="6F632F8E" w:rsidR="00492B3F" w:rsidRPr="00D85C4F" w:rsidRDefault="00492B3F" w:rsidP="00492B3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92B3F">
              <w:rPr>
                <w:rFonts w:ascii="Arial" w:hAnsi="Arial" w:cs="Arial"/>
                <w:sz w:val="20"/>
                <w:szCs w:val="20"/>
              </w:rPr>
              <w:t xml:space="preserve">B. También se producen remisiones totales </w:t>
            </w:r>
            <w:r w:rsidRPr="002649B1">
              <w:rPr>
                <w:rFonts w:ascii="Arial" w:hAnsi="Arial" w:cs="Arial"/>
                <w:strike/>
                <w:color w:val="FF0000"/>
                <w:sz w:val="20"/>
                <w:szCs w:val="20"/>
                <w:highlight w:val="yellow"/>
              </w:rPr>
              <w:t>(o cambio de depresión mayor a manía o</w:t>
            </w:r>
            <w:r w:rsidRPr="002649B1">
              <w:rPr>
                <w:rFonts w:ascii="Arial" w:hAnsi="Arial" w:cs="Arial"/>
                <w:strike/>
                <w:color w:val="FF0000"/>
                <w:sz w:val="20"/>
                <w:szCs w:val="20"/>
                <w:highlight w:val="yellow"/>
              </w:rPr>
              <w:t xml:space="preserve"> </w:t>
            </w:r>
            <w:r w:rsidRPr="002649B1">
              <w:rPr>
                <w:rFonts w:ascii="Arial" w:hAnsi="Arial" w:cs="Arial"/>
                <w:strike/>
                <w:color w:val="FF0000"/>
                <w:sz w:val="20"/>
                <w:szCs w:val="20"/>
                <w:highlight w:val="yellow"/>
              </w:rPr>
              <w:t>hipomanía)</w:t>
            </w:r>
            <w:r w:rsidRPr="002649B1">
              <w:rPr>
                <w:rFonts w:ascii="Arial" w:hAnsi="Arial" w:cs="Arial"/>
                <w:color w:val="FF0000"/>
                <w:sz w:val="20"/>
                <w:szCs w:val="20"/>
              </w:rPr>
              <w:t xml:space="preserve"> </w:t>
            </w:r>
            <w:r w:rsidRPr="00492B3F">
              <w:rPr>
                <w:rFonts w:ascii="Arial" w:hAnsi="Arial" w:cs="Arial"/>
                <w:sz w:val="20"/>
                <w:szCs w:val="20"/>
              </w:rPr>
              <w:t>en un momento del año característico (p. ej., la depresión desaparece en</w:t>
            </w:r>
            <w:r>
              <w:rPr>
                <w:rFonts w:ascii="Arial" w:hAnsi="Arial" w:cs="Arial"/>
                <w:sz w:val="20"/>
                <w:szCs w:val="20"/>
              </w:rPr>
              <w:t xml:space="preserve"> </w:t>
            </w:r>
            <w:r w:rsidRPr="00492B3F">
              <w:rPr>
                <w:rFonts w:ascii="Arial" w:hAnsi="Arial" w:cs="Arial"/>
                <w:sz w:val="20"/>
                <w:szCs w:val="20"/>
              </w:rPr>
              <w:t>primavera).</w:t>
            </w:r>
          </w:p>
        </w:tc>
      </w:tr>
      <w:tr w:rsidR="00492B3F" w14:paraId="190826E8"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241F357"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4022B9AC" w14:textId="46B9B5E7" w:rsidR="00122FDA" w:rsidRPr="00122FDA" w:rsidRDefault="00122FDA" w:rsidP="00122FD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22FDA">
              <w:rPr>
                <w:rFonts w:ascii="Arial" w:hAnsi="Arial" w:cs="Arial"/>
                <w:sz w:val="20"/>
                <w:szCs w:val="20"/>
              </w:rPr>
              <w:t>En el especificador «con patrón estacional» para trastorno de depresión mayor, el Criterio B</w:t>
            </w:r>
            <w:r>
              <w:rPr>
                <w:rFonts w:ascii="Arial" w:hAnsi="Arial" w:cs="Arial"/>
                <w:sz w:val="20"/>
                <w:szCs w:val="20"/>
              </w:rPr>
              <w:t xml:space="preserve"> </w:t>
            </w:r>
            <w:r w:rsidRPr="00122FDA">
              <w:rPr>
                <w:rFonts w:ascii="Arial" w:hAnsi="Arial" w:cs="Arial"/>
                <w:sz w:val="20"/>
                <w:szCs w:val="20"/>
              </w:rPr>
              <w:t>caracteriza el requisito para que el patrón estacional de las remisiones ocurra junto con el</w:t>
            </w:r>
            <w:r>
              <w:rPr>
                <w:rFonts w:ascii="Arial" w:hAnsi="Arial" w:cs="Arial"/>
                <w:sz w:val="20"/>
                <w:szCs w:val="20"/>
              </w:rPr>
              <w:t xml:space="preserve"> </w:t>
            </w:r>
            <w:r w:rsidRPr="00122FDA">
              <w:rPr>
                <w:rFonts w:ascii="Arial" w:hAnsi="Arial" w:cs="Arial"/>
                <w:sz w:val="20"/>
                <w:szCs w:val="20"/>
              </w:rPr>
              <w:t>patrón estacional de los inicios de episodios de depresión mayor descrito en el Criterio A. El</w:t>
            </w:r>
            <w:r>
              <w:rPr>
                <w:rFonts w:ascii="Arial" w:hAnsi="Arial" w:cs="Arial"/>
                <w:sz w:val="20"/>
                <w:szCs w:val="20"/>
              </w:rPr>
              <w:t xml:space="preserve"> </w:t>
            </w:r>
            <w:r w:rsidRPr="00122FDA">
              <w:rPr>
                <w:rFonts w:ascii="Arial" w:hAnsi="Arial" w:cs="Arial"/>
                <w:sz w:val="20"/>
                <w:szCs w:val="20"/>
              </w:rPr>
              <w:t>Criterio B incluye de manera errónea «un cambio de depresión mayor a manía o hipomanía»</w:t>
            </w:r>
          </w:p>
          <w:p w14:paraId="072106A2" w14:textId="3285730A" w:rsidR="00492B3F" w:rsidRPr="00F92FA9" w:rsidRDefault="00122FDA" w:rsidP="00122FD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22FDA">
              <w:rPr>
                <w:rFonts w:ascii="Arial" w:hAnsi="Arial" w:cs="Arial"/>
                <w:sz w:val="20"/>
                <w:szCs w:val="20"/>
              </w:rPr>
              <w:t>como alternativa a la remisión total de los episodios de depresión mayor; por definición, no</w:t>
            </w:r>
            <w:r>
              <w:rPr>
                <w:rFonts w:ascii="Arial" w:hAnsi="Arial" w:cs="Arial"/>
                <w:sz w:val="20"/>
                <w:szCs w:val="20"/>
              </w:rPr>
              <w:t xml:space="preserve"> </w:t>
            </w:r>
            <w:r w:rsidRPr="00122FDA">
              <w:rPr>
                <w:rFonts w:ascii="Arial" w:hAnsi="Arial" w:cs="Arial"/>
                <w:sz w:val="20"/>
                <w:szCs w:val="20"/>
              </w:rPr>
              <w:t>puede haber episodios de manía o hipomanía en el trastorno de depresión mayor.</w:t>
            </w:r>
          </w:p>
        </w:tc>
      </w:tr>
    </w:tbl>
    <w:p w14:paraId="4FA2B6B7" w14:textId="77777777" w:rsidR="00D240D5" w:rsidRDefault="00D240D5" w:rsidP="00025B9A">
      <w:pPr>
        <w:jc w:val="both"/>
        <w:rPr>
          <w:rFonts w:ascii="Arial" w:hAnsi="Arial" w:cs="Arial"/>
          <w:sz w:val="24"/>
          <w:szCs w:val="24"/>
        </w:rPr>
      </w:pPr>
    </w:p>
    <w:tbl>
      <w:tblPr>
        <w:tblStyle w:val="GridTable4"/>
        <w:tblW w:w="0" w:type="auto"/>
        <w:tblLook w:val="04A0" w:firstRow="1" w:lastRow="0" w:firstColumn="1" w:lastColumn="0" w:noHBand="0" w:noVBand="1"/>
      </w:tblPr>
      <w:tblGrid>
        <w:gridCol w:w="1615"/>
        <w:gridCol w:w="6879"/>
      </w:tblGrid>
      <w:tr w:rsidR="00492B3F" w14:paraId="7F7CF596" w14:textId="77777777" w:rsidTr="0014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6508038C" w14:textId="216E522F" w:rsidR="00492B3F" w:rsidRDefault="009A374A" w:rsidP="009A374A">
            <w:pPr>
              <w:jc w:val="both"/>
              <w:rPr>
                <w:rFonts w:ascii="Arial" w:hAnsi="Arial" w:cs="Arial"/>
                <w:sz w:val="24"/>
                <w:szCs w:val="24"/>
              </w:rPr>
            </w:pPr>
            <w:r w:rsidRPr="009A374A">
              <w:rPr>
                <w:rFonts w:ascii="Arial" w:hAnsi="Arial" w:cs="Arial"/>
                <w:sz w:val="24"/>
                <w:szCs w:val="24"/>
              </w:rPr>
              <w:t>Especificadores de trastornos depresivos: especificador «con patrón estacional», nota del criterio D</w:t>
            </w:r>
            <w:r>
              <w:rPr>
                <w:rFonts w:ascii="Arial" w:hAnsi="Arial" w:cs="Arial"/>
                <w:sz w:val="24"/>
                <w:szCs w:val="24"/>
              </w:rPr>
              <w:t xml:space="preserve"> </w:t>
            </w:r>
            <w:r w:rsidRPr="009A374A">
              <w:rPr>
                <w:rFonts w:ascii="Arial" w:hAnsi="Arial" w:cs="Arial"/>
                <w:sz w:val="24"/>
                <w:szCs w:val="24"/>
              </w:rPr>
              <w:t>(segundo párrafo) [agosto 2015]</w:t>
            </w:r>
            <w:r>
              <w:rPr>
                <w:rFonts w:ascii="Arial" w:hAnsi="Arial" w:cs="Arial"/>
                <w:sz w:val="24"/>
                <w:szCs w:val="24"/>
              </w:rPr>
              <w:t xml:space="preserve"> </w:t>
            </w:r>
            <w:r w:rsidRPr="009A374A">
              <w:rPr>
                <w:rFonts w:ascii="Arial" w:hAnsi="Arial" w:cs="Arial"/>
                <w:sz w:val="24"/>
                <w:szCs w:val="24"/>
              </w:rPr>
              <w:t>(DSM-5, pág. 187; Guía de consulta, pág. 113)</w:t>
            </w:r>
          </w:p>
        </w:tc>
      </w:tr>
      <w:tr w:rsidR="00492B3F" w14:paraId="47A9C8AD"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7E672A0"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Publicado</w:t>
            </w:r>
          </w:p>
        </w:tc>
        <w:tc>
          <w:tcPr>
            <w:tcW w:w="6879" w:type="dxa"/>
          </w:tcPr>
          <w:p w14:paraId="5EC85D22" w14:textId="151A6BB1" w:rsidR="00492B3F" w:rsidRPr="00D85C4F" w:rsidRDefault="009A374A" w:rsidP="009A374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A374A">
              <w:rPr>
                <w:rFonts w:ascii="Arial" w:hAnsi="Arial" w:cs="Arial"/>
                <w:sz w:val="20"/>
                <w:szCs w:val="20"/>
              </w:rPr>
              <w:t>Este especificador no se aplica a las situaciones en que el patrón se explica mejor por</w:t>
            </w:r>
            <w:r>
              <w:rPr>
                <w:rFonts w:ascii="Arial" w:hAnsi="Arial" w:cs="Arial"/>
                <w:sz w:val="20"/>
                <w:szCs w:val="20"/>
              </w:rPr>
              <w:t xml:space="preserve"> </w:t>
            </w:r>
            <w:r w:rsidRPr="009A374A">
              <w:rPr>
                <w:rFonts w:ascii="Arial" w:hAnsi="Arial" w:cs="Arial"/>
                <w:sz w:val="20"/>
                <w:szCs w:val="20"/>
              </w:rPr>
              <w:t>factores de estrés psicosocial estacionales (p. ej., desempleo estacional o calendario</w:t>
            </w:r>
            <w:r>
              <w:rPr>
                <w:rFonts w:ascii="Arial" w:hAnsi="Arial" w:cs="Arial"/>
                <w:sz w:val="20"/>
                <w:szCs w:val="20"/>
              </w:rPr>
              <w:t xml:space="preserve"> </w:t>
            </w:r>
            <w:r w:rsidRPr="009A374A">
              <w:rPr>
                <w:rFonts w:ascii="Arial" w:hAnsi="Arial" w:cs="Arial"/>
                <w:sz w:val="20"/>
                <w:szCs w:val="20"/>
              </w:rPr>
              <w:t>escolar). Los episodios de depresión mayor que se producen según un patrón estacional con</w:t>
            </w:r>
            <w:r>
              <w:rPr>
                <w:rFonts w:ascii="Arial" w:hAnsi="Arial" w:cs="Arial"/>
                <w:sz w:val="20"/>
                <w:szCs w:val="20"/>
              </w:rPr>
              <w:t xml:space="preserve"> </w:t>
            </w:r>
            <w:r w:rsidRPr="009A374A">
              <w:rPr>
                <w:rFonts w:ascii="Arial" w:hAnsi="Arial" w:cs="Arial"/>
                <w:sz w:val="20"/>
                <w:szCs w:val="20"/>
              </w:rPr>
              <w:t>frecuencia se caracterizan por energía, hipersomnia,</w:t>
            </w:r>
            <w:r>
              <w:rPr>
                <w:rFonts w:ascii="Arial" w:hAnsi="Arial" w:cs="Arial"/>
                <w:sz w:val="20"/>
                <w:szCs w:val="20"/>
              </w:rPr>
              <w:t xml:space="preserve"> </w:t>
            </w:r>
            <w:r w:rsidRPr="009A374A">
              <w:rPr>
                <w:rFonts w:ascii="Arial" w:hAnsi="Arial" w:cs="Arial"/>
                <w:sz w:val="20"/>
                <w:szCs w:val="20"/>
              </w:rPr>
              <w:t>sobrealimentación, aumento de peso y anhelo de carbohidratos.</w:t>
            </w:r>
          </w:p>
        </w:tc>
      </w:tr>
      <w:tr w:rsidR="00492B3F" w14:paraId="3DC7900E" w14:textId="77777777" w:rsidTr="00142D8E">
        <w:tc>
          <w:tcPr>
            <w:cnfStyle w:val="001000000000" w:firstRow="0" w:lastRow="0" w:firstColumn="1" w:lastColumn="0" w:oddVBand="0" w:evenVBand="0" w:oddHBand="0" w:evenHBand="0" w:firstRowFirstColumn="0" w:firstRowLastColumn="0" w:lastRowFirstColumn="0" w:lastRowLastColumn="0"/>
            <w:tcW w:w="1615" w:type="dxa"/>
          </w:tcPr>
          <w:p w14:paraId="57848131"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Actualizado</w:t>
            </w:r>
          </w:p>
        </w:tc>
        <w:tc>
          <w:tcPr>
            <w:tcW w:w="6879" w:type="dxa"/>
          </w:tcPr>
          <w:p w14:paraId="115D27AB" w14:textId="2044408D" w:rsidR="00492B3F" w:rsidRPr="00D85C4F" w:rsidRDefault="00E97F33" w:rsidP="00E97F3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97F33">
              <w:rPr>
                <w:rFonts w:ascii="Arial" w:hAnsi="Arial" w:cs="Arial"/>
                <w:sz w:val="20"/>
                <w:szCs w:val="20"/>
              </w:rPr>
              <w:t>Este especificador no se aplica a las situaciones en que el patrón se explica mejor por</w:t>
            </w:r>
            <w:r>
              <w:rPr>
                <w:rFonts w:ascii="Arial" w:hAnsi="Arial" w:cs="Arial"/>
                <w:sz w:val="20"/>
                <w:szCs w:val="20"/>
              </w:rPr>
              <w:t xml:space="preserve"> </w:t>
            </w:r>
            <w:r w:rsidRPr="00E97F33">
              <w:rPr>
                <w:rFonts w:ascii="Arial" w:hAnsi="Arial" w:cs="Arial"/>
                <w:sz w:val="20"/>
                <w:szCs w:val="20"/>
              </w:rPr>
              <w:t>factores de estrés psicosocial estacionales (p. ej., desempleo estacional o calendario</w:t>
            </w:r>
            <w:r>
              <w:rPr>
                <w:rFonts w:ascii="Arial" w:hAnsi="Arial" w:cs="Arial"/>
                <w:sz w:val="20"/>
                <w:szCs w:val="20"/>
              </w:rPr>
              <w:t xml:space="preserve"> </w:t>
            </w:r>
            <w:r w:rsidRPr="00E97F33">
              <w:rPr>
                <w:rFonts w:ascii="Arial" w:hAnsi="Arial" w:cs="Arial"/>
                <w:sz w:val="20"/>
                <w:szCs w:val="20"/>
              </w:rPr>
              <w:t>escolar). Los episodios de depresión mayor que se producen según un patrón estacional con</w:t>
            </w:r>
            <w:r>
              <w:rPr>
                <w:rFonts w:ascii="Arial" w:hAnsi="Arial" w:cs="Arial"/>
                <w:sz w:val="20"/>
                <w:szCs w:val="20"/>
              </w:rPr>
              <w:t xml:space="preserve"> </w:t>
            </w:r>
            <w:r w:rsidRPr="00E97F33">
              <w:rPr>
                <w:rFonts w:ascii="Arial" w:hAnsi="Arial" w:cs="Arial"/>
                <w:sz w:val="20"/>
                <w:szCs w:val="20"/>
              </w:rPr>
              <w:t>frecuencia se caracterizan</w:t>
            </w:r>
            <w:r w:rsidRPr="00E97F33">
              <w:rPr>
                <w:rFonts w:ascii="Arial" w:hAnsi="Arial" w:cs="Arial"/>
                <w:strike/>
                <w:sz w:val="20"/>
                <w:szCs w:val="20"/>
              </w:rPr>
              <w:t xml:space="preserve"> </w:t>
            </w:r>
            <w:r w:rsidRPr="00E97F33">
              <w:rPr>
                <w:rFonts w:ascii="Arial" w:hAnsi="Arial" w:cs="Arial"/>
                <w:strike/>
                <w:color w:val="FF0000"/>
                <w:sz w:val="20"/>
                <w:szCs w:val="20"/>
                <w:highlight w:val="yellow"/>
              </w:rPr>
              <w:t>por una importante presencia de</w:t>
            </w:r>
            <w:r w:rsidRPr="00E97F33">
              <w:rPr>
                <w:rFonts w:ascii="Arial" w:hAnsi="Arial" w:cs="Arial"/>
                <w:color w:val="FF0000"/>
                <w:sz w:val="20"/>
                <w:szCs w:val="20"/>
                <w:highlight w:val="yellow"/>
              </w:rPr>
              <w:t xml:space="preserve"> una disminución de</w:t>
            </w:r>
            <w:r w:rsidRPr="00E97F33">
              <w:rPr>
                <w:rFonts w:ascii="Arial" w:hAnsi="Arial" w:cs="Arial"/>
                <w:color w:val="FF0000"/>
                <w:sz w:val="20"/>
                <w:szCs w:val="20"/>
              </w:rPr>
              <w:t xml:space="preserve"> </w:t>
            </w:r>
            <w:r w:rsidRPr="00E97F33">
              <w:rPr>
                <w:rFonts w:ascii="Arial" w:hAnsi="Arial" w:cs="Arial"/>
                <w:sz w:val="20"/>
                <w:szCs w:val="20"/>
              </w:rPr>
              <w:t>energía,</w:t>
            </w:r>
            <w:r>
              <w:rPr>
                <w:rFonts w:ascii="Arial" w:hAnsi="Arial" w:cs="Arial"/>
                <w:sz w:val="20"/>
                <w:szCs w:val="20"/>
              </w:rPr>
              <w:t xml:space="preserve"> </w:t>
            </w:r>
            <w:r w:rsidRPr="00E97F33">
              <w:rPr>
                <w:rFonts w:ascii="Arial" w:hAnsi="Arial" w:cs="Arial"/>
                <w:sz w:val="20"/>
                <w:szCs w:val="20"/>
              </w:rPr>
              <w:t>hipersomnia, sobrealimentación, aumento de peso y anhelo de carbohidratos.</w:t>
            </w:r>
          </w:p>
        </w:tc>
      </w:tr>
      <w:tr w:rsidR="00492B3F" w14:paraId="6A8A3BD5"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BEE471F"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6F2B4886" w14:textId="43DA1E42" w:rsidR="00492B3F" w:rsidRPr="00F92FA9" w:rsidRDefault="00E97F33" w:rsidP="00142D8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97F33">
              <w:rPr>
                <w:rFonts w:ascii="Arial" w:hAnsi="Arial" w:cs="Arial"/>
                <w:sz w:val="20"/>
                <w:szCs w:val="20"/>
              </w:rPr>
              <w:t>Lo correcto es «una disminución de energía»</w:t>
            </w:r>
          </w:p>
        </w:tc>
      </w:tr>
    </w:tbl>
    <w:p w14:paraId="5A1849B8" w14:textId="3C7DC414" w:rsidR="002649B1" w:rsidRDefault="002649B1" w:rsidP="00025B9A">
      <w:pPr>
        <w:jc w:val="both"/>
        <w:rPr>
          <w:rFonts w:ascii="Arial" w:hAnsi="Arial" w:cs="Arial"/>
          <w:sz w:val="24"/>
          <w:szCs w:val="24"/>
        </w:rPr>
      </w:pPr>
    </w:p>
    <w:p w14:paraId="3FD810A0" w14:textId="77777777" w:rsidR="002649B1" w:rsidRDefault="002649B1">
      <w:pPr>
        <w:rPr>
          <w:rFonts w:ascii="Arial" w:hAnsi="Arial" w:cs="Arial"/>
          <w:sz w:val="24"/>
          <w:szCs w:val="24"/>
        </w:rPr>
      </w:pPr>
      <w:r>
        <w:rPr>
          <w:rFonts w:ascii="Arial" w:hAnsi="Arial" w:cs="Arial"/>
          <w:sz w:val="24"/>
          <w:szCs w:val="24"/>
        </w:rPr>
        <w:br w:type="page"/>
      </w:r>
    </w:p>
    <w:p w14:paraId="5ABF476F" w14:textId="77777777" w:rsidR="002A11AC" w:rsidRPr="002A11AC" w:rsidRDefault="002A11AC" w:rsidP="00025B9A">
      <w:pPr>
        <w:jc w:val="both"/>
        <w:rPr>
          <w:rFonts w:ascii="Arial" w:hAnsi="Arial" w:cs="Arial"/>
          <w:b/>
          <w:bCs/>
          <w:sz w:val="24"/>
          <w:szCs w:val="24"/>
        </w:rPr>
      </w:pPr>
      <w:r w:rsidRPr="002A11AC">
        <w:rPr>
          <w:rFonts w:ascii="Arial" w:hAnsi="Arial" w:cs="Arial"/>
          <w:b/>
          <w:bCs/>
          <w:sz w:val="24"/>
          <w:szCs w:val="24"/>
        </w:rPr>
        <w:lastRenderedPageBreak/>
        <w:t>Conclusiones</w:t>
      </w:r>
    </w:p>
    <w:p w14:paraId="77245240" w14:textId="77777777" w:rsidR="00550076" w:rsidRPr="00025B9A" w:rsidRDefault="002A11AC" w:rsidP="00025B9A">
      <w:pPr>
        <w:jc w:val="both"/>
        <w:rPr>
          <w:rFonts w:ascii="Arial" w:hAnsi="Arial" w:cs="Arial"/>
          <w:sz w:val="24"/>
          <w:szCs w:val="24"/>
        </w:rPr>
      </w:pPr>
      <w:r>
        <w:rPr>
          <w:rFonts w:ascii="Arial" w:hAnsi="Arial" w:cs="Arial"/>
          <w:sz w:val="24"/>
          <w:szCs w:val="24"/>
        </w:rPr>
        <w:t>El inventario de depresión de Beck contiene las preguntas que los especialistas en el campo de la salud mental utilizan para determinar un primer diagnóstico acerca de los pacientes con respecto al Trastorno Depresivo Mayor. Es el quinto test mas usado por los hispanohablantes debido ha llevado un proceso muy cuidadoso para su traducción, además de tener una alta discriminación entre pacientes que padecen de depresión y aquellos que no</w:t>
      </w:r>
      <w:r w:rsidR="00D240D5">
        <w:rPr>
          <w:rFonts w:ascii="Arial" w:hAnsi="Arial" w:cs="Arial"/>
          <w:sz w:val="24"/>
          <w:szCs w:val="24"/>
        </w:rPr>
        <w:t>, lo cual indica que tiene un alto grado de precisión. Para poder añadir más datos de aprendizaje al dataset, podemos incluir síntomas depresivos, provenientes del DSM-V el cual es el sistema mas utilizado entre especialistas para diagnosticar trastornos psicológicos.</w:t>
      </w:r>
    </w:p>
    <w:p w14:paraId="477454CA" w14:textId="77777777" w:rsidR="00E1536A" w:rsidRPr="00550076" w:rsidRDefault="00E1536A" w:rsidP="00E1536A">
      <w:pPr>
        <w:jc w:val="both"/>
        <w:rPr>
          <w:rFonts w:ascii="Arial" w:hAnsi="Arial" w:cs="Arial"/>
          <w:sz w:val="24"/>
          <w:szCs w:val="24"/>
        </w:rPr>
      </w:pPr>
    </w:p>
    <w:sdt>
      <w:sdtPr>
        <w:rPr>
          <w:rFonts w:asciiTheme="minorHAnsi" w:eastAsiaTheme="minorHAnsi" w:hAnsiTheme="minorHAnsi" w:cstheme="minorBidi"/>
          <w:color w:val="auto"/>
          <w:sz w:val="22"/>
          <w:szCs w:val="22"/>
          <w:lang w:eastAsia="en-US"/>
        </w:rPr>
        <w:id w:val="-1395657203"/>
        <w:docPartObj>
          <w:docPartGallery w:val="Bibliographies"/>
          <w:docPartUnique/>
        </w:docPartObj>
      </w:sdtPr>
      <w:sdtEndPr/>
      <w:sdtContent>
        <w:p w14:paraId="54E5A6D1" w14:textId="77777777" w:rsidR="006867BD" w:rsidRDefault="006867BD">
          <w:pPr>
            <w:pStyle w:val="Heading1"/>
          </w:pPr>
          <w:r>
            <w:t>Referencias</w:t>
          </w:r>
        </w:p>
        <w:sdt>
          <w:sdtPr>
            <w:id w:val="-573587230"/>
            <w:bibliography/>
          </w:sdtPr>
          <w:sdtEndPr/>
          <w:sdtContent>
            <w:p w14:paraId="47A55EBE" w14:textId="77777777" w:rsidR="00591BD6" w:rsidRDefault="006867BD" w:rsidP="00591BD6">
              <w:pPr>
                <w:pStyle w:val="Bibliography"/>
                <w:ind w:left="720" w:hanging="720"/>
                <w:rPr>
                  <w:noProof/>
                  <w:sz w:val="24"/>
                  <w:szCs w:val="24"/>
                </w:rPr>
              </w:pPr>
              <w:r>
                <w:fldChar w:fldCharType="begin"/>
              </w:r>
              <w:r>
                <w:instrText>BIBLIOGRAPHY</w:instrText>
              </w:r>
              <w:r>
                <w:fldChar w:fldCharType="separate"/>
              </w:r>
              <w:r w:rsidR="00591BD6">
                <w:rPr>
                  <w:i/>
                  <w:iCs/>
                  <w:noProof/>
                </w:rPr>
                <w:t>¿Qué es el DSM? ¿Afectará la nueva versión DSM-5 al TDAH?</w:t>
              </w:r>
              <w:r w:rsidR="00591BD6">
                <w:rPr>
                  <w:noProof/>
                </w:rPr>
                <w:t xml:space="preserve"> (s.f.). Obtenido de Fundación CADAH: https://www.fundacioncadah.org/web/articulo/que-es-el-dsm-iv-tr-afectara-la-nueva-version-dsm-5-al-tdah.html</w:t>
              </w:r>
            </w:p>
            <w:p w14:paraId="2E3082D4" w14:textId="77777777" w:rsidR="00591BD6" w:rsidRDefault="00591BD6" w:rsidP="00591BD6">
              <w:pPr>
                <w:pStyle w:val="Bibliography"/>
                <w:ind w:left="720" w:hanging="720"/>
                <w:rPr>
                  <w:noProof/>
                </w:rPr>
              </w:pPr>
              <w:r>
                <w:rPr>
                  <w:noProof/>
                </w:rPr>
                <w:t xml:space="preserve">(1967). En A. Beck, </w:t>
              </w:r>
              <w:r>
                <w:rPr>
                  <w:i/>
                  <w:iCs/>
                  <w:noProof/>
                </w:rPr>
                <w:t>Diagnóstico y tratamiento de la depresión.</w:t>
              </w:r>
              <w:r>
                <w:rPr>
                  <w:noProof/>
                </w:rPr>
                <w:t xml:space="preserve"> E.U: Merck Sharp &amp; Dohmer International.</w:t>
              </w:r>
            </w:p>
            <w:p w14:paraId="1617D6C2" w14:textId="77777777" w:rsidR="00591BD6" w:rsidRDefault="00591BD6" w:rsidP="00591BD6">
              <w:pPr>
                <w:pStyle w:val="Bibliography"/>
                <w:ind w:left="720" w:hanging="720"/>
                <w:rPr>
                  <w:noProof/>
                </w:rPr>
              </w:pPr>
              <w:r>
                <w:rPr>
                  <w:noProof/>
                </w:rPr>
                <w:t xml:space="preserve">(1979). En A. Beck, A. J. Rush, &amp; G. Emery, </w:t>
              </w:r>
              <w:r>
                <w:rPr>
                  <w:i/>
                  <w:iCs/>
                  <w:noProof/>
                </w:rPr>
                <w:t>Cognitive therapy for depression.</w:t>
              </w:r>
              <w:r>
                <w:rPr>
                  <w:noProof/>
                </w:rPr>
                <w:t xml:space="preserve"> Nueva York, E.U.: The Guilford Press.</w:t>
              </w:r>
            </w:p>
            <w:p w14:paraId="2B969EDA" w14:textId="77777777" w:rsidR="00591BD6" w:rsidRDefault="00591BD6" w:rsidP="00591BD6">
              <w:pPr>
                <w:pStyle w:val="Bibliography"/>
                <w:ind w:left="720" w:hanging="720"/>
                <w:rPr>
                  <w:noProof/>
                </w:rPr>
              </w:pPr>
              <w:r>
                <w:rPr>
                  <w:noProof/>
                </w:rPr>
                <w:t xml:space="preserve">(2010). En J. Muñiz, &amp; J. Fernández-Hermida, </w:t>
              </w:r>
              <w:r>
                <w:rPr>
                  <w:i/>
                  <w:iCs/>
                  <w:noProof/>
                </w:rPr>
                <w:t>La opinión de los psicólogos españoles sobre el uso de los test.</w:t>
              </w:r>
              <w:r>
                <w:rPr>
                  <w:noProof/>
                </w:rPr>
                <w:t xml:space="preserve"> (págs. 108-121).</w:t>
              </w:r>
            </w:p>
            <w:p w14:paraId="4C58EAE2" w14:textId="77777777" w:rsidR="00591BD6" w:rsidRDefault="00591BD6" w:rsidP="00591BD6">
              <w:pPr>
                <w:pStyle w:val="Bibliography"/>
                <w:ind w:left="720" w:hanging="720"/>
                <w:rPr>
                  <w:noProof/>
                </w:rPr>
              </w:pPr>
              <w:r>
                <w:rPr>
                  <w:noProof/>
                </w:rPr>
                <w:t xml:space="preserve">Beck, A. T., Steer, R. A., &amp; Brown, G. K. (2009). </w:t>
              </w:r>
              <w:r>
                <w:rPr>
                  <w:i/>
                  <w:iCs/>
                  <w:noProof/>
                </w:rPr>
                <w:t>BDI-II Inventario de Depresión de Beck.</w:t>
              </w:r>
              <w:r>
                <w:rPr>
                  <w:noProof/>
                </w:rPr>
                <w:t xml:space="preserve"> Buenos Aires: Editorial Paidós SAICF.</w:t>
              </w:r>
            </w:p>
            <w:p w14:paraId="0A37CA34" w14:textId="77777777" w:rsidR="00591BD6" w:rsidRDefault="00591BD6" w:rsidP="00591BD6">
              <w:pPr>
                <w:pStyle w:val="Bibliography"/>
                <w:ind w:left="720" w:hanging="720"/>
                <w:rPr>
                  <w:noProof/>
                </w:rPr>
              </w:pPr>
              <w:r>
                <w:rPr>
                  <w:noProof/>
                </w:rPr>
                <w:t xml:space="preserve">Clínica, S. C. (Abril de 2012). </w:t>
              </w:r>
              <w:r>
                <w:rPr>
                  <w:i/>
                  <w:iCs/>
                  <w:noProof/>
                </w:rPr>
                <w:t>El Inventario de Depresión de Beck: Su validez en población adolescente.</w:t>
              </w:r>
              <w:r>
                <w:rPr>
                  <w:noProof/>
                </w:rPr>
                <w:t xml:space="preserve"> Obtenido de SciELO: https://scielo.conicyt.cl/scielo.php?script=sci_arttext&amp;pid=S0718-48082012000100001</w:t>
              </w:r>
            </w:p>
            <w:p w14:paraId="1954E829" w14:textId="77777777" w:rsidR="00591BD6" w:rsidRDefault="00591BD6" w:rsidP="00591BD6">
              <w:pPr>
                <w:pStyle w:val="Bibliography"/>
                <w:ind w:left="720" w:hanging="720"/>
                <w:rPr>
                  <w:noProof/>
                </w:rPr>
              </w:pPr>
              <w:r>
                <w:rPr>
                  <w:noProof/>
                </w:rPr>
                <w:t xml:space="preserve">Publishing, A. P. (1 de Octubre de 2018). </w:t>
              </w:r>
              <w:r>
                <w:rPr>
                  <w:i/>
                  <w:iCs/>
                  <w:noProof/>
                </w:rPr>
                <w:t>Actualización del DSM-5 Octubre 2018.</w:t>
              </w:r>
              <w:r>
                <w:rPr>
                  <w:noProof/>
                </w:rPr>
                <w:t xml:space="preserve"> Obtenido de psychiatryonline.org: https://psychiatryonline.org/pb-assets/dsm/update/DSM5Update_octubre2018_es.pdf</w:t>
              </w:r>
            </w:p>
            <w:p w14:paraId="16BC7849" w14:textId="77777777" w:rsidR="006867BD" w:rsidRDefault="006867BD" w:rsidP="00591BD6">
              <w:r>
                <w:rPr>
                  <w:b/>
                  <w:bCs/>
                </w:rPr>
                <w:fldChar w:fldCharType="end"/>
              </w:r>
            </w:p>
          </w:sdtContent>
        </w:sdt>
      </w:sdtContent>
    </w:sdt>
    <w:p w14:paraId="575F5060" w14:textId="77777777" w:rsidR="00E1536A" w:rsidRPr="00E1536A" w:rsidRDefault="00E1536A" w:rsidP="00E1536A">
      <w:pPr>
        <w:jc w:val="both"/>
        <w:rPr>
          <w:rFonts w:ascii="Arial" w:hAnsi="Arial" w:cs="Arial"/>
          <w:b/>
          <w:bCs/>
          <w:sz w:val="24"/>
          <w:szCs w:val="24"/>
        </w:rPr>
      </w:pPr>
    </w:p>
    <w:sectPr w:rsidR="00E1536A" w:rsidRPr="00E153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FAEL ANTONIO BOLAÑOS CAMERAS" w:date="2020-10-17T21:48:00Z" w:initials="RABC">
    <w:p w14:paraId="2BAB1EAA" w14:textId="77777777" w:rsidR="004A7649" w:rsidRDefault="00B37008">
      <w:pPr>
        <w:pStyle w:val="CommentText"/>
      </w:pPr>
      <w:r>
        <w:rPr>
          <w:rStyle w:val="CommentReference"/>
        </w:rPr>
        <w:annotationRef/>
      </w:r>
      <w:r w:rsidR="004A7649" w:rsidRPr="004A7649">
        <w:t>https://scielo.conicyt.cl/scielo.php?script=sci_arttext&amp;pid=S0718-48082012000100001</w:t>
      </w:r>
      <w:r w:rsidR="004A7649" w:rsidRPr="004A7649">
        <w:t xml:space="preserve"> </w:t>
      </w:r>
      <w:r w:rsidR="004A7649">
        <w:t xml:space="preserve"> </w:t>
      </w:r>
    </w:p>
    <w:p w14:paraId="5D2F11F3" w14:textId="4D9D6EA9" w:rsidR="00B37008" w:rsidRDefault="00B37008">
      <w:pPr>
        <w:pStyle w:val="CommentText"/>
      </w:pPr>
      <w:r>
        <w:t>(DE ESTE LINK SAQUE ESE PEDO)</w:t>
      </w:r>
    </w:p>
  </w:comment>
  <w:comment w:id="1" w:author="RAFAEL ANTONIO BOLAÑOS CAMERAS" w:date="2020-10-17T22:50:00Z" w:initials="RABC">
    <w:p w14:paraId="59CB799C" w14:textId="71C0D8BB" w:rsidR="00252D6B" w:rsidRDefault="00252D6B">
      <w:pPr>
        <w:pStyle w:val="CommentText"/>
      </w:pPr>
      <w:r>
        <w:rPr>
          <w:rStyle w:val="CommentReference"/>
        </w:rPr>
        <w:annotationRef/>
      </w:r>
      <w:r w:rsidRPr="00252D6B">
        <w:t>https://psychiatryonline.org/pb-assets/dsm/update/DSM5Update_octubre2018_es.pdf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2F11F3" w15:done="0"/>
  <w15:commentEx w15:paraId="59CB79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5E534" w16cex:dateUtc="2020-10-18T02:48:00Z"/>
  <w16cex:commentExtensible w16cex:durableId="2335F3BF" w16cex:dateUtc="2020-10-18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2F11F3" w16cid:durableId="2335E534"/>
  <w16cid:commentId w16cid:paraId="59CB799C" w16cid:durableId="2335F3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72DB2"/>
    <w:multiLevelType w:val="multilevel"/>
    <w:tmpl w:val="741E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416EE"/>
    <w:multiLevelType w:val="hybridMultilevel"/>
    <w:tmpl w:val="6360C85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CD17C08"/>
    <w:multiLevelType w:val="hybridMultilevel"/>
    <w:tmpl w:val="465C84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1B6583C"/>
    <w:multiLevelType w:val="hybridMultilevel"/>
    <w:tmpl w:val="38A8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4445ED4"/>
    <w:multiLevelType w:val="hybridMultilevel"/>
    <w:tmpl w:val="CFC66B1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EEF051D"/>
    <w:multiLevelType w:val="hybridMultilevel"/>
    <w:tmpl w:val="C85020E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7CDE20A2"/>
    <w:multiLevelType w:val="hybridMultilevel"/>
    <w:tmpl w:val="14B6E25A"/>
    <w:lvl w:ilvl="0" w:tplc="28F8380A">
      <w:start w:val="1"/>
      <w:numFmt w:val="decimal"/>
      <w:lvlText w:val="%1."/>
      <w:lvlJc w:val="left"/>
      <w:pPr>
        <w:ind w:left="720" w:hanging="360"/>
      </w:pPr>
      <w:rPr>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4"/>
  </w:num>
  <w:num w:numId="5">
    <w:abstractNumId w:val="0"/>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FAEL ANTONIO BOLAÑOS CAMERAS">
    <w15:presenceInfo w15:providerId="AD" w15:userId="S::L16270740@tuxtla.tecnm.mx::bd2f630f-890e-471f-8d4e-46fe440a6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6A"/>
    <w:rsid w:val="00025B9A"/>
    <w:rsid w:val="00075BFE"/>
    <w:rsid w:val="00091021"/>
    <w:rsid w:val="000A7556"/>
    <w:rsid w:val="000B606D"/>
    <w:rsid w:val="00113F0D"/>
    <w:rsid w:val="0012119A"/>
    <w:rsid w:val="00122FDA"/>
    <w:rsid w:val="0015672F"/>
    <w:rsid w:val="001656B2"/>
    <w:rsid w:val="00173D00"/>
    <w:rsid w:val="001956E2"/>
    <w:rsid w:val="001C55E2"/>
    <w:rsid w:val="001C697E"/>
    <w:rsid w:val="001E1093"/>
    <w:rsid w:val="001E70C4"/>
    <w:rsid w:val="002365FD"/>
    <w:rsid w:val="002514BC"/>
    <w:rsid w:val="00252D6B"/>
    <w:rsid w:val="00254B2C"/>
    <w:rsid w:val="002649B1"/>
    <w:rsid w:val="00275638"/>
    <w:rsid w:val="00294B95"/>
    <w:rsid w:val="002A11AC"/>
    <w:rsid w:val="003251E4"/>
    <w:rsid w:val="003552E7"/>
    <w:rsid w:val="00382C4C"/>
    <w:rsid w:val="003851EC"/>
    <w:rsid w:val="003A7080"/>
    <w:rsid w:val="003D2B7C"/>
    <w:rsid w:val="00442A12"/>
    <w:rsid w:val="00492B3F"/>
    <w:rsid w:val="004972E4"/>
    <w:rsid w:val="004A7649"/>
    <w:rsid w:val="00550076"/>
    <w:rsid w:val="00554855"/>
    <w:rsid w:val="00591BD6"/>
    <w:rsid w:val="005A5B53"/>
    <w:rsid w:val="005E1FAB"/>
    <w:rsid w:val="006341D9"/>
    <w:rsid w:val="0064301F"/>
    <w:rsid w:val="006867BD"/>
    <w:rsid w:val="006C4F22"/>
    <w:rsid w:val="006E16FB"/>
    <w:rsid w:val="007270EF"/>
    <w:rsid w:val="00843638"/>
    <w:rsid w:val="008446F7"/>
    <w:rsid w:val="00871E72"/>
    <w:rsid w:val="00891828"/>
    <w:rsid w:val="008A2AF4"/>
    <w:rsid w:val="008B087D"/>
    <w:rsid w:val="008B1202"/>
    <w:rsid w:val="008D2CDB"/>
    <w:rsid w:val="00923E54"/>
    <w:rsid w:val="009A374A"/>
    <w:rsid w:val="00A62E64"/>
    <w:rsid w:val="00A759A3"/>
    <w:rsid w:val="00A95996"/>
    <w:rsid w:val="00AD56E5"/>
    <w:rsid w:val="00B01707"/>
    <w:rsid w:val="00B0345F"/>
    <w:rsid w:val="00B37008"/>
    <w:rsid w:val="00BF20A8"/>
    <w:rsid w:val="00C34D4B"/>
    <w:rsid w:val="00CB0FD9"/>
    <w:rsid w:val="00D240D5"/>
    <w:rsid w:val="00D41772"/>
    <w:rsid w:val="00D42635"/>
    <w:rsid w:val="00D85C4F"/>
    <w:rsid w:val="00E1536A"/>
    <w:rsid w:val="00E97F33"/>
    <w:rsid w:val="00EB3E7B"/>
    <w:rsid w:val="00F27284"/>
    <w:rsid w:val="00F80AAF"/>
    <w:rsid w:val="00F92FA9"/>
    <w:rsid w:val="00FE76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6D5A"/>
  <w15:chartTrackingRefBased/>
  <w15:docId w15:val="{FE0A68B3-90EA-4465-9A29-B46FAA85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7BD"/>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36A"/>
    <w:pPr>
      <w:ind w:left="720"/>
      <w:contextualSpacing/>
    </w:pPr>
  </w:style>
  <w:style w:type="paragraph" w:styleId="NormalWeb">
    <w:name w:val="Normal (Web)"/>
    <w:basedOn w:val="Normal"/>
    <w:uiPriority w:val="99"/>
    <w:semiHidden/>
    <w:unhideWhenUsed/>
    <w:rsid w:val="00025B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025B9A"/>
    <w:rPr>
      <w:b/>
      <w:bCs/>
    </w:rPr>
  </w:style>
  <w:style w:type="character" w:styleId="Emphasis">
    <w:name w:val="Emphasis"/>
    <w:basedOn w:val="DefaultParagraphFont"/>
    <w:uiPriority w:val="20"/>
    <w:qFormat/>
    <w:rsid w:val="00025B9A"/>
    <w:rPr>
      <w:i/>
      <w:iCs/>
    </w:rPr>
  </w:style>
  <w:style w:type="character" w:styleId="Hyperlink">
    <w:name w:val="Hyperlink"/>
    <w:basedOn w:val="DefaultParagraphFont"/>
    <w:uiPriority w:val="99"/>
    <w:unhideWhenUsed/>
    <w:rsid w:val="00025B9A"/>
    <w:rPr>
      <w:color w:val="0000FF"/>
      <w:u w:val="single"/>
    </w:rPr>
  </w:style>
  <w:style w:type="character" w:customStyle="1" w:styleId="Heading1Char">
    <w:name w:val="Heading 1 Char"/>
    <w:basedOn w:val="DefaultParagraphFont"/>
    <w:link w:val="Heading1"/>
    <w:uiPriority w:val="9"/>
    <w:rsid w:val="006867BD"/>
    <w:rPr>
      <w:rFonts w:asciiTheme="majorHAnsi" w:eastAsiaTheme="majorEastAsia" w:hAnsiTheme="majorHAnsi" w:cstheme="majorBidi"/>
      <w:color w:val="2F5496" w:themeColor="accent1" w:themeShade="BF"/>
      <w:sz w:val="32"/>
      <w:szCs w:val="32"/>
      <w:lang w:eastAsia="es-ES"/>
    </w:rPr>
  </w:style>
  <w:style w:type="paragraph" w:styleId="Bibliography">
    <w:name w:val="Bibliography"/>
    <w:basedOn w:val="Normal"/>
    <w:next w:val="Normal"/>
    <w:uiPriority w:val="37"/>
    <w:unhideWhenUsed/>
    <w:rsid w:val="006867BD"/>
  </w:style>
  <w:style w:type="table" w:styleId="TableGrid">
    <w:name w:val="Table Grid"/>
    <w:basedOn w:val="TableNormal"/>
    <w:uiPriority w:val="39"/>
    <w:rsid w:val="00EB3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56B2"/>
    <w:pPr>
      <w:spacing w:after="200" w:line="240" w:lineRule="auto"/>
    </w:pPr>
    <w:rPr>
      <w:i/>
      <w:iCs/>
      <w:color w:val="44546A" w:themeColor="text2"/>
      <w:sz w:val="18"/>
      <w:szCs w:val="18"/>
    </w:rPr>
  </w:style>
  <w:style w:type="table" w:styleId="GridTable4">
    <w:name w:val="Grid Table 4"/>
    <w:basedOn w:val="TableNormal"/>
    <w:uiPriority w:val="49"/>
    <w:rsid w:val="002514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B37008"/>
    <w:rPr>
      <w:sz w:val="16"/>
      <w:szCs w:val="16"/>
    </w:rPr>
  </w:style>
  <w:style w:type="paragraph" w:styleId="CommentText">
    <w:name w:val="annotation text"/>
    <w:basedOn w:val="Normal"/>
    <w:link w:val="CommentTextChar"/>
    <w:uiPriority w:val="99"/>
    <w:semiHidden/>
    <w:unhideWhenUsed/>
    <w:rsid w:val="00B37008"/>
    <w:pPr>
      <w:spacing w:line="240" w:lineRule="auto"/>
    </w:pPr>
    <w:rPr>
      <w:sz w:val="20"/>
      <w:szCs w:val="20"/>
    </w:rPr>
  </w:style>
  <w:style w:type="character" w:customStyle="1" w:styleId="CommentTextChar">
    <w:name w:val="Comment Text Char"/>
    <w:basedOn w:val="DefaultParagraphFont"/>
    <w:link w:val="CommentText"/>
    <w:uiPriority w:val="99"/>
    <w:semiHidden/>
    <w:rsid w:val="00B37008"/>
    <w:rPr>
      <w:sz w:val="20"/>
      <w:szCs w:val="20"/>
    </w:rPr>
  </w:style>
  <w:style w:type="paragraph" w:styleId="CommentSubject">
    <w:name w:val="annotation subject"/>
    <w:basedOn w:val="CommentText"/>
    <w:next w:val="CommentText"/>
    <w:link w:val="CommentSubjectChar"/>
    <w:uiPriority w:val="99"/>
    <w:semiHidden/>
    <w:unhideWhenUsed/>
    <w:rsid w:val="00B37008"/>
    <w:rPr>
      <w:b/>
      <w:bCs/>
    </w:rPr>
  </w:style>
  <w:style w:type="character" w:customStyle="1" w:styleId="CommentSubjectChar">
    <w:name w:val="Comment Subject Char"/>
    <w:basedOn w:val="CommentTextChar"/>
    <w:link w:val="CommentSubject"/>
    <w:uiPriority w:val="99"/>
    <w:semiHidden/>
    <w:rsid w:val="00B37008"/>
    <w:rPr>
      <w:b/>
      <w:bCs/>
      <w:sz w:val="20"/>
      <w:szCs w:val="20"/>
    </w:rPr>
  </w:style>
  <w:style w:type="paragraph" w:styleId="BalloonText">
    <w:name w:val="Balloon Text"/>
    <w:basedOn w:val="Normal"/>
    <w:link w:val="BalloonTextChar"/>
    <w:uiPriority w:val="99"/>
    <w:semiHidden/>
    <w:unhideWhenUsed/>
    <w:rsid w:val="00B370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008"/>
    <w:rPr>
      <w:rFonts w:ascii="Segoe UI" w:hAnsi="Segoe UI" w:cs="Segoe UI"/>
      <w:sz w:val="18"/>
      <w:szCs w:val="18"/>
    </w:rPr>
  </w:style>
  <w:style w:type="character" w:styleId="UnresolvedMention">
    <w:name w:val="Unresolved Mention"/>
    <w:basedOn w:val="DefaultParagraphFont"/>
    <w:uiPriority w:val="99"/>
    <w:semiHidden/>
    <w:unhideWhenUsed/>
    <w:rsid w:val="00B37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57663">
      <w:bodyDiv w:val="1"/>
      <w:marLeft w:val="0"/>
      <w:marRight w:val="0"/>
      <w:marTop w:val="0"/>
      <w:marBottom w:val="0"/>
      <w:divBdr>
        <w:top w:val="none" w:sz="0" w:space="0" w:color="auto"/>
        <w:left w:val="none" w:sz="0" w:space="0" w:color="auto"/>
        <w:bottom w:val="none" w:sz="0" w:space="0" w:color="auto"/>
        <w:right w:val="none" w:sz="0" w:space="0" w:color="auto"/>
      </w:divBdr>
    </w:div>
    <w:div w:id="181625760">
      <w:bodyDiv w:val="1"/>
      <w:marLeft w:val="0"/>
      <w:marRight w:val="0"/>
      <w:marTop w:val="0"/>
      <w:marBottom w:val="0"/>
      <w:divBdr>
        <w:top w:val="none" w:sz="0" w:space="0" w:color="auto"/>
        <w:left w:val="none" w:sz="0" w:space="0" w:color="auto"/>
        <w:bottom w:val="none" w:sz="0" w:space="0" w:color="auto"/>
        <w:right w:val="none" w:sz="0" w:space="0" w:color="auto"/>
      </w:divBdr>
    </w:div>
    <w:div w:id="205725653">
      <w:bodyDiv w:val="1"/>
      <w:marLeft w:val="0"/>
      <w:marRight w:val="0"/>
      <w:marTop w:val="0"/>
      <w:marBottom w:val="0"/>
      <w:divBdr>
        <w:top w:val="none" w:sz="0" w:space="0" w:color="auto"/>
        <w:left w:val="none" w:sz="0" w:space="0" w:color="auto"/>
        <w:bottom w:val="none" w:sz="0" w:space="0" w:color="auto"/>
        <w:right w:val="none" w:sz="0" w:space="0" w:color="auto"/>
      </w:divBdr>
    </w:div>
    <w:div w:id="208493332">
      <w:bodyDiv w:val="1"/>
      <w:marLeft w:val="0"/>
      <w:marRight w:val="0"/>
      <w:marTop w:val="0"/>
      <w:marBottom w:val="0"/>
      <w:divBdr>
        <w:top w:val="none" w:sz="0" w:space="0" w:color="auto"/>
        <w:left w:val="none" w:sz="0" w:space="0" w:color="auto"/>
        <w:bottom w:val="none" w:sz="0" w:space="0" w:color="auto"/>
        <w:right w:val="none" w:sz="0" w:space="0" w:color="auto"/>
      </w:divBdr>
    </w:div>
    <w:div w:id="245846661">
      <w:bodyDiv w:val="1"/>
      <w:marLeft w:val="0"/>
      <w:marRight w:val="0"/>
      <w:marTop w:val="0"/>
      <w:marBottom w:val="0"/>
      <w:divBdr>
        <w:top w:val="none" w:sz="0" w:space="0" w:color="auto"/>
        <w:left w:val="none" w:sz="0" w:space="0" w:color="auto"/>
        <w:bottom w:val="none" w:sz="0" w:space="0" w:color="auto"/>
        <w:right w:val="none" w:sz="0" w:space="0" w:color="auto"/>
      </w:divBdr>
    </w:div>
    <w:div w:id="360861676">
      <w:bodyDiv w:val="1"/>
      <w:marLeft w:val="0"/>
      <w:marRight w:val="0"/>
      <w:marTop w:val="0"/>
      <w:marBottom w:val="0"/>
      <w:divBdr>
        <w:top w:val="none" w:sz="0" w:space="0" w:color="auto"/>
        <w:left w:val="none" w:sz="0" w:space="0" w:color="auto"/>
        <w:bottom w:val="none" w:sz="0" w:space="0" w:color="auto"/>
        <w:right w:val="none" w:sz="0" w:space="0" w:color="auto"/>
      </w:divBdr>
    </w:div>
    <w:div w:id="363143213">
      <w:bodyDiv w:val="1"/>
      <w:marLeft w:val="0"/>
      <w:marRight w:val="0"/>
      <w:marTop w:val="0"/>
      <w:marBottom w:val="0"/>
      <w:divBdr>
        <w:top w:val="none" w:sz="0" w:space="0" w:color="auto"/>
        <w:left w:val="none" w:sz="0" w:space="0" w:color="auto"/>
        <w:bottom w:val="none" w:sz="0" w:space="0" w:color="auto"/>
        <w:right w:val="none" w:sz="0" w:space="0" w:color="auto"/>
      </w:divBdr>
    </w:div>
    <w:div w:id="476650171">
      <w:bodyDiv w:val="1"/>
      <w:marLeft w:val="0"/>
      <w:marRight w:val="0"/>
      <w:marTop w:val="0"/>
      <w:marBottom w:val="0"/>
      <w:divBdr>
        <w:top w:val="none" w:sz="0" w:space="0" w:color="auto"/>
        <w:left w:val="none" w:sz="0" w:space="0" w:color="auto"/>
        <w:bottom w:val="none" w:sz="0" w:space="0" w:color="auto"/>
        <w:right w:val="none" w:sz="0" w:space="0" w:color="auto"/>
      </w:divBdr>
    </w:div>
    <w:div w:id="532040287">
      <w:bodyDiv w:val="1"/>
      <w:marLeft w:val="0"/>
      <w:marRight w:val="0"/>
      <w:marTop w:val="0"/>
      <w:marBottom w:val="0"/>
      <w:divBdr>
        <w:top w:val="none" w:sz="0" w:space="0" w:color="auto"/>
        <w:left w:val="none" w:sz="0" w:space="0" w:color="auto"/>
        <w:bottom w:val="none" w:sz="0" w:space="0" w:color="auto"/>
        <w:right w:val="none" w:sz="0" w:space="0" w:color="auto"/>
      </w:divBdr>
    </w:div>
    <w:div w:id="535897566">
      <w:bodyDiv w:val="1"/>
      <w:marLeft w:val="0"/>
      <w:marRight w:val="0"/>
      <w:marTop w:val="0"/>
      <w:marBottom w:val="0"/>
      <w:divBdr>
        <w:top w:val="none" w:sz="0" w:space="0" w:color="auto"/>
        <w:left w:val="none" w:sz="0" w:space="0" w:color="auto"/>
        <w:bottom w:val="none" w:sz="0" w:space="0" w:color="auto"/>
        <w:right w:val="none" w:sz="0" w:space="0" w:color="auto"/>
      </w:divBdr>
    </w:div>
    <w:div w:id="563369103">
      <w:bodyDiv w:val="1"/>
      <w:marLeft w:val="0"/>
      <w:marRight w:val="0"/>
      <w:marTop w:val="0"/>
      <w:marBottom w:val="0"/>
      <w:divBdr>
        <w:top w:val="none" w:sz="0" w:space="0" w:color="auto"/>
        <w:left w:val="none" w:sz="0" w:space="0" w:color="auto"/>
        <w:bottom w:val="none" w:sz="0" w:space="0" w:color="auto"/>
        <w:right w:val="none" w:sz="0" w:space="0" w:color="auto"/>
      </w:divBdr>
    </w:div>
    <w:div w:id="600573519">
      <w:bodyDiv w:val="1"/>
      <w:marLeft w:val="0"/>
      <w:marRight w:val="0"/>
      <w:marTop w:val="0"/>
      <w:marBottom w:val="0"/>
      <w:divBdr>
        <w:top w:val="none" w:sz="0" w:space="0" w:color="auto"/>
        <w:left w:val="none" w:sz="0" w:space="0" w:color="auto"/>
        <w:bottom w:val="none" w:sz="0" w:space="0" w:color="auto"/>
        <w:right w:val="none" w:sz="0" w:space="0" w:color="auto"/>
      </w:divBdr>
    </w:div>
    <w:div w:id="650254643">
      <w:bodyDiv w:val="1"/>
      <w:marLeft w:val="0"/>
      <w:marRight w:val="0"/>
      <w:marTop w:val="0"/>
      <w:marBottom w:val="0"/>
      <w:divBdr>
        <w:top w:val="none" w:sz="0" w:space="0" w:color="auto"/>
        <w:left w:val="none" w:sz="0" w:space="0" w:color="auto"/>
        <w:bottom w:val="none" w:sz="0" w:space="0" w:color="auto"/>
        <w:right w:val="none" w:sz="0" w:space="0" w:color="auto"/>
      </w:divBdr>
    </w:div>
    <w:div w:id="691539591">
      <w:bodyDiv w:val="1"/>
      <w:marLeft w:val="0"/>
      <w:marRight w:val="0"/>
      <w:marTop w:val="0"/>
      <w:marBottom w:val="0"/>
      <w:divBdr>
        <w:top w:val="none" w:sz="0" w:space="0" w:color="auto"/>
        <w:left w:val="none" w:sz="0" w:space="0" w:color="auto"/>
        <w:bottom w:val="none" w:sz="0" w:space="0" w:color="auto"/>
        <w:right w:val="none" w:sz="0" w:space="0" w:color="auto"/>
      </w:divBdr>
    </w:div>
    <w:div w:id="744299411">
      <w:bodyDiv w:val="1"/>
      <w:marLeft w:val="0"/>
      <w:marRight w:val="0"/>
      <w:marTop w:val="0"/>
      <w:marBottom w:val="0"/>
      <w:divBdr>
        <w:top w:val="none" w:sz="0" w:space="0" w:color="auto"/>
        <w:left w:val="none" w:sz="0" w:space="0" w:color="auto"/>
        <w:bottom w:val="none" w:sz="0" w:space="0" w:color="auto"/>
        <w:right w:val="none" w:sz="0" w:space="0" w:color="auto"/>
      </w:divBdr>
    </w:div>
    <w:div w:id="787041075">
      <w:bodyDiv w:val="1"/>
      <w:marLeft w:val="0"/>
      <w:marRight w:val="0"/>
      <w:marTop w:val="0"/>
      <w:marBottom w:val="0"/>
      <w:divBdr>
        <w:top w:val="none" w:sz="0" w:space="0" w:color="auto"/>
        <w:left w:val="none" w:sz="0" w:space="0" w:color="auto"/>
        <w:bottom w:val="none" w:sz="0" w:space="0" w:color="auto"/>
        <w:right w:val="none" w:sz="0" w:space="0" w:color="auto"/>
      </w:divBdr>
    </w:div>
    <w:div w:id="800610313">
      <w:bodyDiv w:val="1"/>
      <w:marLeft w:val="0"/>
      <w:marRight w:val="0"/>
      <w:marTop w:val="0"/>
      <w:marBottom w:val="0"/>
      <w:divBdr>
        <w:top w:val="none" w:sz="0" w:space="0" w:color="auto"/>
        <w:left w:val="none" w:sz="0" w:space="0" w:color="auto"/>
        <w:bottom w:val="none" w:sz="0" w:space="0" w:color="auto"/>
        <w:right w:val="none" w:sz="0" w:space="0" w:color="auto"/>
      </w:divBdr>
    </w:div>
    <w:div w:id="985858059">
      <w:bodyDiv w:val="1"/>
      <w:marLeft w:val="0"/>
      <w:marRight w:val="0"/>
      <w:marTop w:val="0"/>
      <w:marBottom w:val="0"/>
      <w:divBdr>
        <w:top w:val="none" w:sz="0" w:space="0" w:color="auto"/>
        <w:left w:val="none" w:sz="0" w:space="0" w:color="auto"/>
        <w:bottom w:val="none" w:sz="0" w:space="0" w:color="auto"/>
        <w:right w:val="none" w:sz="0" w:space="0" w:color="auto"/>
      </w:divBdr>
    </w:div>
    <w:div w:id="1053890614">
      <w:bodyDiv w:val="1"/>
      <w:marLeft w:val="0"/>
      <w:marRight w:val="0"/>
      <w:marTop w:val="0"/>
      <w:marBottom w:val="0"/>
      <w:divBdr>
        <w:top w:val="none" w:sz="0" w:space="0" w:color="auto"/>
        <w:left w:val="none" w:sz="0" w:space="0" w:color="auto"/>
        <w:bottom w:val="none" w:sz="0" w:space="0" w:color="auto"/>
        <w:right w:val="none" w:sz="0" w:space="0" w:color="auto"/>
      </w:divBdr>
    </w:div>
    <w:div w:id="1144930797">
      <w:bodyDiv w:val="1"/>
      <w:marLeft w:val="0"/>
      <w:marRight w:val="0"/>
      <w:marTop w:val="0"/>
      <w:marBottom w:val="0"/>
      <w:divBdr>
        <w:top w:val="none" w:sz="0" w:space="0" w:color="auto"/>
        <w:left w:val="none" w:sz="0" w:space="0" w:color="auto"/>
        <w:bottom w:val="none" w:sz="0" w:space="0" w:color="auto"/>
        <w:right w:val="none" w:sz="0" w:space="0" w:color="auto"/>
      </w:divBdr>
    </w:div>
    <w:div w:id="1170371538">
      <w:bodyDiv w:val="1"/>
      <w:marLeft w:val="0"/>
      <w:marRight w:val="0"/>
      <w:marTop w:val="0"/>
      <w:marBottom w:val="0"/>
      <w:divBdr>
        <w:top w:val="none" w:sz="0" w:space="0" w:color="auto"/>
        <w:left w:val="none" w:sz="0" w:space="0" w:color="auto"/>
        <w:bottom w:val="none" w:sz="0" w:space="0" w:color="auto"/>
        <w:right w:val="none" w:sz="0" w:space="0" w:color="auto"/>
      </w:divBdr>
    </w:div>
    <w:div w:id="1172260735">
      <w:bodyDiv w:val="1"/>
      <w:marLeft w:val="0"/>
      <w:marRight w:val="0"/>
      <w:marTop w:val="0"/>
      <w:marBottom w:val="0"/>
      <w:divBdr>
        <w:top w:val="none" w:sz="0" w:space="0" w:color="auto"/>
        <w:left w:val="none" w:sz="0" w:space="0" w:color="auto"/>
        <w:bottom w:val="none" w:sz="0" w:space="0" w:color="auto"/>
        <w:right w:val="none" w:sz="0" w:space="0" w:color="auto"/>
      </w:divBdr>
    </w:div>
    <w:div w:id="1237782332">
      <w:bodyDiv w:val="1"/>
      <w:marLeft w:val="0"/>
      <w:marRight w:val="0"/>
      <w:marTop w:val="0"/>
      <w:marBottom w:val="0"/>
      <w:divBdr>
        <w:top w:val="none" w:sz="0" w:space="0" w:color="auto"/>
        <w:left w:val="none" w:sz="0" w:space="0" w:color="auto"/>
        <w:bottom w:val="none" w:sz="0" w:space="0" w:color="auto"/>
        <w:right w:val="none" w:sz="0" w:space="0" w:color="auto"/>
      </w:divBdr>
    </w:div>
    <w:div w:id="1424103677">
      <w:bodyDiv w:val="1"/>
      <w:marLeft w:val="0"/>
      <w:marRight w:val="0"/>
      <w:marTop w:val="0"/>
      <w:marBottom w:val="0"/>
      <w:divBdr>
        <w:top w:val="none" w:sz="0" w:space="0" w:color="auto"/>
        <w:left w:val="none" w:sz="0" w:space="0" w:color="auto"/>
        <w:bottom w:val="none" w:sz="0" w:space="0" w:color="auto"/>
        <w:right w:val="none" w:sz="0" w:space="0" w:color="auto"/>
      </w:divBdr>
    </w:div>
    <w:div w:id="1468741695">
      <w:bodyDiv w:val="1"/>
      <w:marLeft w:val="0"/>
      <w:marRight w:val="0"/>
      <w:marTop w:val="0"/>
      <w:marBottom w:val="0"/>
      <w:divBdr>
        <w:top w:val="none" w:sz="0" w:space="0" w:color="auto"/>
        <w:left w:val="none" w:sz="0" w:space="0" w:color="auto"/>
        <w:bottom w:val="none" w:sz="0" w:space="0" w:color="auto"/>
        <w:right w:val="none" w:sz="0" w:space="0" w:color="auto"/>
      </w:divBdr>
      <w:divsChild>
        <w:div w:id="1244725996">
          <w:marLeft w:val="0"/>
          <w:marRight w:val="0"/>
          <w:marTop w:val="0"/>
          <w:marBottom w:val="0"/>
          <w:divBdr>
            <w:top w:val="none" w:sz="0" w:space="0" w:color="auto"/>
            <w:left w:val="none" w:sz="0" w:space="0" w:color="auto"/>
            <w:bottom w:val="none" w:sz="0" w:space="0" w:color="auto"/>
            <w:right w:val="none" w:sz="0" w:space="0" w:color="auto"/>
          </w:divBdr>
        </w:div>
        <w:div w:id="1437484553">
          <w:marLeft w:val="0"/>
          <w:marRight w:val="0"/>
          <w:marTop w:val="0"/>
          <w:marBottom w:val="0"/>
          <w:divBdr>
            <w:top w:val="none" w:sz="0" w:space="0" w:color="auto"/>
            <w:left w:val="none" w:sz="0" w:space="0" w:color="auto"/>
            <w:bottom w:val="none" w:sz="0" w:space="0" w:color="auto"/>
            <w:right w:val="none" w:sz="0" w:space="0" w:color="auto"/>
          </w:divBdr>
          <w:divsChild>
            <w:div w:id="1101804607">
              <w:marLeft w:val="0"/>
              <w:marRight w:val="0"/>
              <w:marTop w:val="0"/>
              <w:marBottom w:val="0"/>
              <w:divBdr>
                <w:top w:val="none" w:sz="0" w:space="0" w:color="auto"/>
                <w:left w:val="none" w:sz="0" w:space="0" w:color="auto"/>
                <w:bottom w:val="none" w:sz="0" w:space="0" w:color="auto"/>
                <w:right w:val="none" w:sz="0" w:space="0" w:color="auto"/>
              </w:divBdr>
            </w:div>
            <w:div w:id="1571454809">
              <w:marLeft w:val="0"/>
              <w:marRight w:val="0"/>
              <w:marTop w:val="0"/>
              <w:marBottom w:val="0"/>
              <w:divBdr>
                <w:top w:val="none" w:sz="0" w:space="0" w:color="auto"/>
                <w:left w:val="none" w:sz="0" w:space="0" w:color="auto"/>
                <w:bottom w:val="none" w:sz="0" w:space="0" w:color="auto"/>
                <w:right w:val="none" w:sz="0" w:space="0" w:color="auto"/>
              </w:divBdr>
            </w:div>
            <w:div w:id="5414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4294">
      <w:bodyDiv w:val="1"/>
      <w:marLeft w:val="0"/>
      <w:marRight w:val="0"/>
      <w:marTop w:val="0"/>
      <w:marBottom w:val="0"/>
      <w:divBdr>
        <w:top w:val="none" w:sz="0" w:space="0" w:color="auto"/>
        <w:left w:val="none" w:sz="0" w:space="0" w:color="auto"/>
        <w:bottom w:val="none" w:sz="0" w:space="0" w:color="auto"/>
        <w:right w:val="none" w:sz="0" w:space="0" w:color="auto"/>
      </w:divBdr>
    </w:div>
    <w:div w:id="1510750057">
      <w:bodyDiv w:val="1"/>
      <w:marLeft w:val="0"/>
      <w:marRight w:val="0"/>
      <w:marTop w:val="0"/>
      <w:marBottom w:val="0"/>
      <w:divBdr>
        <w:top w:val="none" w:sz="0" w:space="0" w:color="auto"/>
        <w:left w:val="none" w:sz="0" w:space="0" w:color="auto"/>
        <w:bottom w:val="none" w:sz="0" w:space="0" w:color="auto"/>
        <w:right w:val="none" w:sz="0" w:space="0" w:color="auto"/>
      </w:divBdr>
    </w:div>
    <w:div w:id="1550992877">
      <w:bodyDiv w:val="1"/>
      <w:marLeft w:val="0"/>
      <w:marRight w:val="0"/>
      <w:marTop w:val="0"/>
      <w:marBottom w:val="0"/>
      <w:divBdr>
        <w:top w:val="none" w:sz="0" w:space="0" w:color="auto"/>
        <w:left w:val="none" w:sz="0" w:space="0" w:color="auto"/>
        <w:bottom w:val="none" w:sz="0" w:space="0" w:color="auto"/>
        <w:right w:val="none" w:sz="0" w:space="0" w:color="auto"/>
      </w:divBdr>
    </w:div>
    <w:div w:id="1570340661">
      <w:bodyDiv w:val="1"/>
      <w:marLeft w:val="0"/>
      <w:marRight w:val="0"/>
      <w:marTop w:val="0"/>
      <w:marBottom w:val="0"/>
      <w:divBdr>
        <w:top w:val="none" w:sz="0" w:space="0" w:color="auto"/>
        <w:left w:val="none" w:sz="0" w:space="0" w:color="auto"/>
        <w:bottom w:val="none" w:sz="0" w:space="0" w:color="auto"/>
        <w:right w:val="none" w:sz="0" w:space="0" w:color="auto"/>
      </w:divBdr>
    </w:div>
    <w:div w:id="1583835925">
      <w:bodyDiv w:val="1"/>
      <w:marLeft w:val="0"/>
      <w:marRight w:val="0"/>
      <w:marTop w:val="0"/>
      <w:marBottom w:val="0"/>
      <w:divBdr>
        <w:top w:val="none" w:sz="0" w:space="0" w:color="auto"/>
        <w:left w:val="none" w:sz="0" w:space="0" w:color="auto"/>
        <w:bottom w:val="none" w:sz="0" w:space="0" w:color="auto"/>
        <w:right w:val="none" w:sz="0" w:space="0" w:color="auto"/>
      </w:divBdr>
    </w:div>
    <w:div w:id="1620799329">
      <w:bodyDiv w:val="1"/>
      <w:marLeft w:val="0"/>
      <w:marRight w:val="0"/>
      <w:marTop w:val="0"/>
      <w:marBottom w:val="0"/>
      <w:divBdr>
        <w:top w:val="none" w:sz="0" w:space="0" w:color="auto"/>
        <w:left w:val="none" w:sz="0" w:space="0" w:color="auto"/>
        <w:bottom w:val="none" w:sz="0" w:space="0" w:color="auto"/>
        <w:right w:val="none" w:sz="0" w:space="0" w:color="auto"/>
      </w:divBdr>
    </w:div>
    <w:div w:id="1690790864">
      <w:bodyDiv w:val="1"/>
      <w:marLeft w:val="0"/>
      <w:marRight w:val="0"/>
      <w:marTop w:val="0"/>
      <w:marBottom w:val="0"/>
      <w:divBdr>
        <w:top w:val="none" w:sz="0" w:space="0" w:color="auto"/>
        <w:left w:val="none" w:sz="0" w:space="0" w:color="auto"/>
        <w:bottom w:val="none" w:sz="0" w:space="0" w:color="auto"/>
        <w:right w:val="none" w:sz="0" w:space="0" w:color="auto"/>
      </w:divBdr>
    </w:div>
    <w:div w:id="1713655142">
      <w:bodyDiv w:val="1"/>
      <w:marLeft w:val="0"/>
      <w:marRight w:val="0"/>
      <w:marTop w:val="0"/>
      <w:marBottom w:val="0"/>
      <w:divBdr>
        <w:top w:val="none" w:sz="0" w:space="0" w:color="auto"/>
        <w:left w:val="none" w:sz="0" w:space="0" w:color="auto"/>
        <w:bottom w:val="none" w:sz="0" w:space="0" w:color="auto"/>
        <w:right w:val="none" w:sz="0" w:space="0" w:color="auto"/>
      </w:divBdr>
    </w:div>
    <w:div w:id="1729037946">
      <w:bodyDiv w:val="1"/>
      <w:marLeft w:val="0"/>
      <w:marRight w:val="0"/>
      <w:marTop w:val="0"/>
      <w:marBottom w:val="0"/>
      <w:divBdr>
        <w:top w:val="none" w:sz="0" w:space="0" w:color="auto"/>
        <w:left w:val="none" w:sz="0" w:space="0" w:color="auto"/>
        <w:bottom w:val="none" w:sz="0" w:space="0" w:color="auto"/>
        <w:right w:val="none" w:sz="0" w:space="0" w:color="auto"/>
      </w:divBdr>
    </w:div>
    <w:div w:id="1831823192">
      <w:bodyDiv w:val="1"/>
      <w:marLeft w:val="0"/>
      <w:marRight w:val="0"/>
      <w:marTop w:val="0"/>
      <w:marBottom w:val="0"/>
      <w:divBdr>
        <w:top w:val="none" w:sz="0" w:space="0" w:color="auto"/>
        <w:left w:val="none" w:sz="0" w:space="0" w:color="auto"/>
        <w:bottom w:val="none" w:sz="0" w:space="0" w:color="auto"/>
        <w:right w:val="none" w:sz="0" w:space="0" w:color="auto"/>
      </w:divBdr>
    </w:div>
    <w:div w:id="1850168827">
      <w:bodyDiv w:val="1"/>
      <w:marLeft w:val="0"/>
      <w:marRight w:val="0"/>
      <w:marTop w:val="0"/>
      <w:marBottom w:val="0"/>
      <w:divBdr>
        <w:top w:val="none" w:sz="0" w:space="0" w:color="auto"/>
        <w:left w:val="none" w:sz="0" w:space="0" w:color="auto"/>
        <w:bottom w:val="none" w:sz="0" w:space="0" w:color="auto"/>
        <w:right w:val="none" w:sz="0" w:space="0" w:color="auto"/>
      </w:divBdr>
    </w:div>
    <w:div w:id="2007130054">
      <w:bodyDiv w:val="1"/>
      <w:marLeft w:val="0"/>
      <w:marRight w:val="0"/>
      <w:marTop w:val="0"/>
      <w:marBottom w:val="0"/>
      <w:divBdr>
        <w:top w:val="none" w:sz="0" w:space="0" w:color="auto"/>
        <w:left w:val="none" w:sz="0" w:space="0" w:color="auto"/>
        <w:bottom w:val="none" w:sz="0" w:space="0" w:color="auto"/>
        <w:right w:val="none" w:sz="0" w:space="0" w:color="auto"/>
      </w:divBdr>
    </w:div>
    <w:div w:id="209010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msdmanuals.com/es-mx/professional/trastornos-psiqui%C3%A1tricos/trastornos-del-estado-de-%C3%A1nimo/trastornos-depresiv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msdmanuals.com/es-mx/professional/trastornos-psiqui%C3%A1tricos/trastornos-del-estado-de-%C3%A1nimo/trastornos-depresivo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sdmanuals.com/es-mx/professional/trastornos-psiqui%C3%A1tricos/trastornos-del-estado-de-%C3%A1nimo/trastornos-depresivo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Muñ10</b:Tag>
    <b:SourceType>BookSection</b:SourceType>
    <b:Guid>{7D931B21-A65E-4E03-8DED-CBDA4B812D73}</b:Guid>
    <b:Author>
      <b:BookAuthor>
        <b:NameList>
          <b:Person>
            <b:Last>Muñiz</b:Last>
            <b:First>J</b:First>
          </b:Person>
          <b:Person>
            <b:Last>Fernández-Hermida</b:Last>
            <b:First>J.R.</b:First>
          </b:Person>
        </b:NameList>
      </b:BookAuthor>
    </b:Author>
    <b:Year>2010</b:Year>
    <b:BookTitle>La opinión de los psicólogos españoles sobre el uso de los test.</b:BookTitle>
    <b:Pages>108-121</b:Pages>
    <b:RefOrder>4</b:RefOrder>
  </b:Source>
  <b:Source>
    <b:Tag>Qué</b:Tag>
    <b:SourceType>InternetSite</b:SourceType>
    <b:Guid>{9CE575B0-9B9E-4D79-9DD5-FB29D47CF907}</b:Guid>
    <b:Title>¿Qué es el DSM? ¿Afectará la nueva versión DSM-5 al TDAH?</b:Title>
    <b:InternetSiteTitle>Fundación CADAH</b:InternetSiteTitle>
    <b:URL>https://www.fundacioncadah.org/web/articulo/que-es-el-dsm-iv-tr-afectara-la-nueva-version-dsm-5-al-tdah.html</b:URL>
    <b:RefOrder>6</b:RefOrder>
  </b:Source>
  <b:Source>
    <b:Tag>Bec67</b:Tag>
    <b:SourceType>BookSection</b:SourceType>
    <b:Guid>{1067B155-97AE-4BAC-B526-18211A7C2B78}</b:Guid>
    <b:Year>1967</b:Year>
    <b:Author>
      <b:BookAuthor>
        <b:NameList>
          <b:Person>
            <b:Last>Beck</b:Last>
            <b:First>A.</b:First>
          </b:Person>
        </b:NameList>
      </b:BookAuthor>
    </b:Author>
    <b:BookTitle>Diagnóstico y tratamiento de la depresión.</b:BookTitle>
    <b:City>E.U</b:City>
    <b:Publisher>Merck Sharp &amp; Dohmer International</b:Publisher>
    <b:RefOrder>1</b:RefOrder>
  </b:Source>
  <b:Source>
    <b:Tag>Bec79</b:Tag>
    <b:SourceType>BookSection</b:SourceType>
    <b:Guid>{B3282A37-99E9-4618-8119-A60DF5D3D1E4}</b:Guid>
    <b:Author>
      <b:BookAuthor>
        <b:NameList>
          <b:Person>
            <b:Last>Beck</b:Last>
            <b:First>A.T.</b:First>
          </b:Person>
          <b:Person>
            <b:Last>Rush</b:Last>
            <b:First>A.</b:First>
            <b:Middle>J., Shaw, B</b:Middle>
          </b:Person>
          <b:Person>
            <b:Last>Emery</b:Last>
            <b:First>G</b:First>
          </b:Person>
        </b:NameList>
      </b:BookAuthor>
    </b:Author>
    <b:BookTitle>Cognitive therapy for depression</b:BookTitle>
    <b:Year>1979</b:Year>
    <b:City>Nueva York, E.U.</b:City>
    <b:Publisher>The Guilford Press</b:Publisher>
    <b:RefOrder>2</b:RefOrder>
  </b:Source>
  <b:Source>
    <b:Tag>Bec09</b:Tag>
    <b:SourceType>Book</b:SourceType>
    <b:Guid>{539ED7ED-37BB-40AD-A557-C56D4ED776AA}</b:Guid>
    <b:Title>BDI-II Inventario de Depresión de Beck</b:Title>
    <b:Year>2009</b:Year>
    <b:Author>
      <b:Author>
        <b:NameList>
          <b:Person>
            <b:Last>Beck</b:Last>
            <b:Middle>T.</b:Middle>
            <b:First>Aaron</b:First>
          </b:Person>
          <b:Person>
            <b:Last>Steer</b:Last>
            <b:Middle>A.</b:Middle>
            <b:First>Robert</b:First>
          </b:Person>
          <b:Person>
            <b:Last>Brown</b:Last>
            <b:Middle>K.</b:Middle>
            <b:First>Gregory </b:First>
          </b:Person>
        </b:NameList>
      </b:Author>
    </b:Author>
    <b:City>Buenos Aires</b:City>
    <b:Publisher>Editorial Paidós SAICF</b:Publisher>
    <b:RefOrder>3</b:RefOrder>
  </b:Source>
  <b:Source>
    <b:Tag>Soc12</b:Tag>
    <b:SourceType>DocumentFromInternetSite</b:SourceType>
    <b:Guid>{F52171A6-51FD-4115-B76B-1C84BD29FC84}</b:Guid>
    <b:Title>El Inventario de Depresión de Beck: Su validez en población adolescente</b:Title>
    <b:Year>2012</b:Year>
    <b:Author>
      <b:Author>
        <b:NameList>
          <b:Person>
            <b:Last>Clínica</b:Last>
            <b:First>Sociedad</b:First>
            <b:Middle>Chilena de Psicología</b:Middle>
          </b:Person>
        </b:NameList>
      </b:Author>
    </b:Author>
    <b:InternetSiteTitle>SciELO</b:InternetSiteTitle>
    <b:Month>Abril</b:Month>
    <b:URL>https://scielo.conicyt.cl/scielo.php?script=sci_arttext&amp;pid=S0718-48082012000100001</b:URL>
    <b:RefOrder>5</b:RefOrder>
  </b:Source>
  <b:Source>
    <b:Tag>Ame18</b:Tag>
    <b:SourceType>DocumentFromInternetSite</b:SourceType>
    <b:Guid>{30E00E01-2565-4BD6-8CA3-E1268CCE319A}</b:Guid>
    <b:Author>
      <b:Author>
        <b:NameList>
          <b:Person>
            <b:Last>Publishing</b:Last>
            <b:First>American</b:First>
            <b:Middle>Psychiatric Association</b:Middle>
          </b:Person>
        </b:NameList>
      </b:Author>
    </b:Author>
    <b:Title>Actualización del DSM-5 Octubre 2018</b:Title>
    <b:InternetSiteTitle>psychiatryonline.org</b:InternetSiteTitle>
    <b:Year>2018</b:Year>
    <b:Month>Octubre</b:Month>
    <b:Day>1</b:Day>
    <b:URL>https://psychiatryonline.org/pb-assets/dsm/update/DSM5Update_octubre2018_es.pdf</b:URL>
    <b:RefOrder>7</b:RefOrder>
  </b:Source>
</b:Sources>
</file>

<file path=customXml/itemProps1.xml><?xml version="1.0" encoding="utf-8"?>
<ds:datastoreItem xmlns:ds="http://schemas.openxmlformats.org/officeDocument/2006/customXml" ds:itemID="{797503C9-84CB-4257-B138-61A248F6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3215</Words>
  <Characters>17686</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Glez</dc:creator>
  <cp:keywords/>
  <dc:description/>
  <cp:lastModifiedBy>RAFAEL ANTONIO BOLAÑOS CAMERAS</cp:lastModifiedBy>
  <cp:revision>54</cp:revision>
  <dcterms:created xsi:type="dcterms:W3CDTF">2020-10-18T00:32:00Z</dcterms:created>
  <dcterms:modified xsi:type="dcterms:W3CDTF">2020-10-18T03:52:00Z</dcterms:modified>
</cp:coreProperties>
</file>