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C30EA">
      <w:pPr>
        <w:pStyle w:val="5"/>
        <w:spacing w:before="240" w:after="220" w:line="360" w:lineRule="auto"/>
        <w:ind w:firstLine="0"/>
        <w:jc w:val="center"/>
      </w:pPr>
      <w:r>
        <w:rPr>
          <w:rFonts w:ascii="黑体" w:hAnsi="黑体" w:eastAsia="黑体" w:cs="黑体"/>
          <w:b/>
          <w:bCs/>
          <w:color w:val="000000"/>
          <w:sz w:val="36"/>
          <w:szCs w:val="36"/>
        </w:rPr>
        <w:t>前台模块实现部分</w:t>
      </w:r>
    </w:p>
    <w:p w14:paraId="567C295E">
      <w:pPr>
        <w:spacing w:before="0" w:after="180" w:line="300" w:lineRule="auto"/>
        <w:ind w:firstLine="0"/>
        <w:jc w:val="center"/>
      </w:pPr>
      <w:r>
        <w:rPr>
          <w:rFonts w:ascii="宋体" w:hAnsi="宋体" w:eastAsia="宋体" w:cs="宋体"/>
          <w:color w:val="666666"/>
          <w:sz w:val="22"/>
          <w:szCs w:val="22"/>
        </w:rPr>
        <w:t>基于新前端的用户登录、公共导航、课程学习、作业考试、个人中心与智能问答功能实现说明</w:t>
      </w:r>
    </w:p>
    <w:p w14:paraId="77E9BE2A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前台模块采用 Vue 3、Vit</w:t>
      </w:r>
      <w:bookmarkStart w:id="0" w:name="_GoBack"/>
      <w:bookmarkEnd w:id="0"/>
      <w:r>
        <w:rPr>
          <w:rFonts w:ascii="宋体" w:hAnsi="宋体" w:eastAsia="宋体" w:cs="宋体"/>
          <w:color w:val="000000"/>
          <w:sz w:val="24"/>
          <w:szCs w:val="24"/>
        </w:rPr>
        <w:t>e、TypeScript、Pinia 与 Vue Router 构建，以 PublicLayout 作为统一页面容器，通过路由切换完成功能组织。用户完成登录后，系统按照页面顶部从左到右的顺序依次展示首页、课程、公告、论坛、我的课程、作业、考试、会议、个人中心和智能问答等入口，并在各业务页面中完成课程浏览、章节学习、进度记录、作业提交、在线考试和成绩查看等操作。</w:t>
      </w:r>
    </w:p>
    <w:p w14:paraId="3C3A683A">
      <w:pPr>
        <w:spacing w:before="0" w:after="18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本节结合当前仓库中的前台源码与 docs 目录下的实施说明，对前台模块的主要页面和关键逻辑进行说明。文中的截图位置均已预留，后续可根据实际界面补充对应图片。</w:t>
      </w:r>
    </w:p>
    <w:p w14:paraId="1C3D39BA">
      <w:pPr>
        <w:pStyle w:val="2"/>
        <w:spacing w:before="220" w:after="120" w:line="320" w:lineRule="auto"/>
        <w:ind w:firstLine="0"/>
        <w:jc w:val="left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4.1 用户登录模块</w:t>
      </w:r>
    </w:p>
    <w:p w14:paraId="3BCCCC2A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系统登录页用于完成身份选择与账号鉴权。页面提供学生、教师和管理员三类身份入口，用户根据自身角色选择对应账号类型后输入账号与密码即可登录。登录成功后，系统会将 Token、角色、用户编号和表名等信息写入前台会话缓存，并自动跳转到个人中心页面，保证后续业务页面可以直接读取登录态。</w:t>
      </w:r>
    </w:p>
    <w:p w14:paraId="42FA5AF9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登录阶段同时加入了基础校验逻辑，账号或密码为空时立即给出提示，避免无效请求进入后端。前台会话对象还承担了后续路由守卫的判断依据，因此登录模块是整套前台功能的起点。</w:t>
      </w:r>
    </w:p>
    <w:tbl>
      <w:tblPr>
        <w:tblStyle w:val="6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shd w:val="clear" w:color="auto" w:fill="FBFBFB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196817B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shd w:val="clear" w:color="auto" w:fill="FBFBFB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1800" w:hRule="atLeast"/>
        </w:trPr>
        <w:tc>
          <w:tcPr>
            <w:tcW w:w="902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0453">
            <w:pPr>
              <w:spacing w:before="60" w:after="40" w:line="30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0"/>
                <w:szCs w:val="20"/>
              </w:rPr>
              <w:t>图4-1 登录页面界面</w:t>
            </w:r>
          </w:p>
          <w:p w14:paraId="28396A2C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 w:cs="宋体"/>
                <w:i/>
                <w:iCs/>
                <w:color w:val="666666"/>
                <w:sz w:val="22"/>
                <w:szCs w:val="22"/>
              </w:rPr>
              <w:t>（此处插入截图）</w:t>
            </w:r>
          </w:p>
        </w:tc>
      </w:tr>
    </w:tbl>
    <w:p w14:paraId="6B5CE0A5">
      <w:pPr>
        <w:spacing w:before="0" w:after="0" w:line="240" w:lineRule="auto"/>
        <w:ind w:firstLine="0"/>
        <w:jc w:val="both"/>
      </w:pPr>
    </w:p>
    <w:p w14:paraId="398A170F">
      <w:pPr>
        <w:spacing w:before="0" w:after="60" w:line="320" w:lineRule="auto"/>
        <w:ind w:firstLine="420"/>
        <w:jc w:val="both"/>
      </w:pPr>
      <w:r>
        <w:rPr>
          <w:rFonts w:ascii="宋体" w:hAnsi="宋体" w:eastAsia="宋体" w:cs="宋体"/>
          <w:b/>
          <w:bCs/>
          <w:color w:val="000000"/>
          <w:sz w:val="22"/>
          <w:szCs w:val="22"/>
        </w:rPr>
        <w:t>关键代码如下：</w:t>
      </w:r>
    </w:p>
    <w:tbl>
      <w:tblPr>
        <w:tblStyle w:val="6"/>
        <w:tblW w:w="9026" w:type="dxa"/>
        <w:tblInd w:w="0" w:type="dxa"/>
        <w:tblBorders>
          <w:top w:val="single" w:color="C8C8C8" w:sz="8" w:space="0"/>
          <w:left w:val="single" w:color="C8C8C8" w:sz="8" w:space="0"/>
          <w:bottom w:val="single" w:color="C8C8C8" w:sz="8" w:space="0"/>
          <w:right w:val="single" w:color="C8C8C8" w:sz="8" w:space="0"/>
          <w:insideH w:val="single" w:color="C8C8C8" w:sz="8" w:space="0"/>
          <w:insideV w:val="single" w:color="C8C8C8" w:sz="8" w:space="0"/>
        </w:tblBorders>
        <w:shd w:val="clear" w:color="auto" w:fill="F4F4F4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04B9A9E2">
        <w:tblPrEx>
          <w:tblBorders>
            <w:top w:val="single" w:color="C8C8C8" w:sz="8" w:space="0"/>
            <w:left w:val="single" w:color="C8C8C8" w:sz="8" w:space="0"/>
            <w:bottom w:val="single" w:color="C8C8C8" w:sz="8" w:space="0"/>
            <w:right w:val="single" w:color="C8C8C8" w:sz="8" w:space="0"/>
            <w:insideH w:val="single" w:color="C8C8C8" w:sz="8" w:space="0"/>
            <w:insideV w:val="single" w:color="C8C8C8" w:sz="8" w:space="0"/>
          </w:tblBorders>
          <w:shd w:val="clear" w:color="auto" w:fill="F4F4F4"/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026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C9D5A9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const session = ref&lt;AuthSession | null&gt;(readSession(STORAGE_KEY));</w:t>
            </w:r>
          </w:p>
          <w:p w14:paraId="041F32C1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async function login(payload: { tableName: UserTable; username: string; password: string; }) {</w:t>
            </w:r>
          </w:p>
          <w:p w14:paraId="3017ACDE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const { data } = await axios.post(`${DEFAULT_BASE_URL}${loginEndpointMap[payload.tableName]}`, null, { params: payload });</w:t>
            </w:r>
          </w:p>
          <w:p w14:paraId="22DC7AFF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if (data.code !== 0) throw new Error(data.msg || "登录失败");</w:t>
            </w:r>
          </w:p>
          <w:p w14:paraId="5AE3A65D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setSession({ token: data.token, role: data.role, userId: data.userId, tableName: payload.tableName, username: payload.username });</w:t>
            </w:r>
          </w:p>
          <w:p w14:paraId="24C21F38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}</w:t>
            </w:r>
          </w:p>
          <w:p w14:paraId="21AA3881">
            <w:pPr>
              <w:spacing w:before="0" w:after="0" w:line="280" w:lineRule="auto"/>
              <w:ind w:firstLine="0"/>
              <w:jc w:val="left"/>
            </w:pPr>
          </w:p>
          <w:p w14:paraId="3908C473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router.beforeEach(async (to) =&gt; {</w:t>
            </w:r>
          </w:p>
          <w:p w14:paraId="5EBC6B58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const session = useSessionStore();</w:t>
            </w:r>
          </w:p>
          <w:p w14:paraId="044B4331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if (to.meta.requiresAuth &amp;&amp; !session.isLoggedIn) {</w:t>
            </w:r>
          </w:p>
          <w:p w14:paraId="64F66D52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  return { name: "login", query: { redirect: to.fullPath } };</w:t>
            </w:r>
          </w:p>
          <w:p w14:paraId="4E37A5EB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}</w:t>
            </w:r>
          </w:p>
          <w:p w14:paraId="27DF3CCE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});</w:t>
            </w:r>
          </w:p>
        </w:tc>
      </w:tr>
    </w:tbl>
    <w:p w14:paraId="672B3E52">
      <w:pPr>
        <w:spacing w:before="0" w:after="0" w:line="240" w:lineRule="auto"/>
        <w:ind w:firstLine="0"/>
        <w:jc w:val="both"/>
      </w:pPr>
    </w:p>
    <w:p w14:paraId="6D1615AA">
      <w:pPr>
        <w:pStyle w:val="2"/>
        <w:spacing w:before="220" w:after="120" w:line="320" w:lineRule="auto"/>
        <w:ind w:firstLine="0"/>
        <w:jc w:val="left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4.2 前台总体布局</w:t>
      </w:r>
    </w:p>
    <w:p w14:paraId="72C5C973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登录成功后，系统统一进入前台主布局页面。该页面以顶部导航作为主入口，左侧集中展示公共服务入口，右侧集中展示我的学习入口和账户操作入口，形成清晰的功能分组。这种布局方式既保留了公共浏览场景，也保留了登录后的学习场景，用户无需在多个页面之间重复寻找入口即可完成主要操作。</w:t>
      </w:r>
    </w:p>
    <w:p w14:paraId="262908AE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顶部公共服务入口包含首页、课程、公告和论坛，右侧操作区包含问 AI、身份标识和退出登录按钮；我的学习入口包含我的课程、作业、考试、会议和个人中心。当前路由激活状态会在菜单中实时高亮，便于用户判断当前位置。</w:t>
      </w:r>
    </w:p>
    <w:tbl>
      <w:tblPr>
        <w:tblStyle w:val="6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shd w:val="clear" w:color="auto" w:fill="FBFBFB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5E8DDB7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1800" w:hRule="atLeast"/>
        </w:trPr>
        <w:tc>
          <w:tcPr>
            <w:tcW w:w="902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55CD">
            <w:pPr>
              <w:spacing w:before="60" w:after="40" w:line="30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0"/>
                <w:szCs w:val="20"/>
              </w:rPr>
              <w:t>图4-2 前台主布局界面</w:t>
            </w:r>
          </w:p>
          <w:p w14:paraId="684F5829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 w:cs="宋体"/>
                <w:i/>
                <w:iCs/>
                <w:color w:val="666666"/>
                <w:sz w:val="22"/>
                <w:szCs w:val="22"/>
              </w:rPr>
              <w:t>（此处插入截图）</w:t>
            </w:r>
          </w:p>
        </w:tc>
      </w:tr>
    </w:tbl>
    <w:p w14:paraId="1DD8F7E8">
      <w:pPr>
        <w:spacing w:before="0" w:after="0" w:line="240" w:lineRule="auto"/>
        <w:ind w:firstLine="0"/>
        <w:jc w:val="both"/>
      </w:pPr>
    </w:p>
    <w:p w14:paraId="20FE3A52">
      <w:pPr>
        <w:spacing w:before="0" w:after="60" w:line="320" w:lineRule="auto"/>
        <w:ind w:firstLine="420"/>
        <w:jc w:val="both"/>
      </w:pPr>
      <w:r>
        <w:rPr>
          <w:rFonts w:ascii="宋体" w:hAnsi="宋体" w:eastAsia="宋体" w:cs="宋体"/>
          <w:b/>
          <w:bCs/>
          <w:color w:val="000000"/>
          <w:sz w:val="22"/>
          <w:szCs w:val="22"/>
        </w:rPr>
        <w:t>关键代码如下：</w:t>
      </w:r>
    </w:p>
    <w:tbl>
      <w:tblPr>
        <w:tblStyle w:val="6"/>
        <w:tblW w:w="9026" w:type="dxa"/>
        <w:tblInd w:w="0" w:type="dxa"/>
        <w:tblBorders>
          <w:top w:val="single" w:color="C8C8C8" w:sz="8" w:space="0"/>
          <w:left w:val="single" w:color="C8C8C8" w:sz="8" w:space="0"/>
          <w:bottom w:val="single" w:color="C8C8C8" w:sz="8" w:space="0"/>
          <w:right w:val="single" w:color="C8C8C8" w:sz="8" w:space="0"/>
          <w:insideH w:val="single" w:color="C8C8C8" w:sz="8" w:space="0"/>
          <w:insideV w:val="single" w:color="C8C8C8" w:sz="8" w:space="0"/>
        </w:tblBorders>
        <w:shd w:val="clear" w:color="auto" w:fill="F4F4F4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2619025C">
        <w:tblPrEx>
          <w:tblBorders>
            <w:top w:val="single" w:color="C8C8C8" w:sz="8" w:space="0"/>
            <w:left w:val="single" w:color="C8C8C8" w:sz="8" w:space="0"/>
            <w:bottom w:val="single" w:color="C8C8C8" w:sz="8" w:space="0"/>
            <w:right w:val="single" w:color="C8C8C8" w:sz="8" w:space="0"/>
            <w:insideH w:val="single" w:color="C8C8C8" w:sz="8" w:space="0"/>
            <w:insideV w:val="single" w:color="C8C8C8" w:sz="8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026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20DB0E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const aiLink = computed(() =&gt; {</w:t>
            </w:r>
          </w:p>
          <w:p w14:paraId="55675852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const query: Record&lt;string, string | number&gt; = {</w:t>
            </w:r>
          </w:p>
          <w:p w14:paraId="09844564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  bizScene: route.name === "course-detail" ? "course_learning" : "system_nav",</w:t>
            </w:r>
          </w:p>
          <w:p w14:paraId="2EF787C8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  pageCode: String(route.name ?? "public")</w:t>
            </w:r>
          </w:p>
          <w:p w14:paraId="12136682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};</w:t>
            </w:r>
          </w:p>
          <w:p w14:paraId="095A8EC0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if (route.name === "course-detail" &amp;&amp; route.params.id) {</w:t>
            </w:r>
          </w:p>
          <w:p w14:paraId="03583622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  query.courseId = Number(route.params.id);</w:t>
            </w:r>
          </w:p>
          <w:p w14:paraId="444E4782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}</w:t>
            </w:r>
          </w:p>
          <w:p w14:paraId="78352B0B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return { name: "ai-chat", query };</w:t>
            </w:r>
          </w:p>
          <w:p w14:paraId="6A18AF5B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});</w:t>
            </w:r>
          </w:p>
          <w:p w14:paraId="5C8549F0">
            <w:pPr>
              <w:spacing w:before="0" w:after="0" w:line="280" w:lineRule="auto"/>
              <w:ind w:firstLine="0"/>
              <w:jc w:val="left"/>
            </w:pPr>
          </w:p>
          <w:p w14:paraId="32FFBD7B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function handleLogout() {</w:t>
            </w:r>
          </w:p>
          <w:p w14:paraId="791B05B1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session.logout();</w:t>
            </w:r>
          </w:p>
          <w:p w14:paraId="33F71E19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router.push({ name: "login" });</w:t>
            </w:r>
          </w:p>
          <w:p w14:paraId="0958A74E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1CDC4C67">
      <w:pPr>
        <w:spacing w:before="0" w:after="0" w:line="240" w:lineRule="auto"/>
        <w:ind w:firstLine="0"/>
        <w:jc w:val="both"/>
      </w:pPr>
    </w:p>
    <w:p w14:paraId="3639BB36">
      <w:pPr>
        <w:pStyle w:val="2"/>
        <w:spacing w:before="220" w:after="120" w:line="320" w:lineRule="auto"/>
        <w:ind w:firstLine="0"/>
        <w:jc w:val="left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4.3 首页模块</w:t>
      </w:r>
    </w:p>
    <w:p w14:paraId="0B9239A1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首页承担前台内容聚合与快速导览的作用。页面上方展示轮播图和学习引导区，中部通过快捷入口分组展示公共服务和学习入口，下方展示课程推荐和最新公告，形成由概览到详情的浏览路径。首页不是单纯的静态展示页，而是连接课程、公告、作业、论坛等模块的统一入口，用户可以从首页直接进入后续功能页面。</w:t>
      </w:r>
    </w:p>
    <w:p w14:paraId="6017062E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首页还会同步读取课程、作业、论坛、公告、会议等基础数据，并将当前可浏览课程数量、已发布作业数量和近期讨论数量以卡片形式展示，增强页面的信息密度和可读性。</w:t>
      </w:r>
    </w:p>
    <w:tbl>
      <w:tblPr>
        <w:tblStyle w:val="6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shd w:val="clear" w:color="auto" w:fill="FBFBFB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19EF3F4B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shd w:val="clear" w:color="auto" w:fill="FBFBFB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1800" w:hRule="atLeast"/>
        </w:trPr>
        <w:tc>
          <w:tcPr>
            <w:tcW w:w="902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4415">
            <w:pPr>
              <w:spacing w:before="60" w:after="40" w:line="30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0"/>
                <w:szCs w:val="20"/>
              </w:rPr>
              <w:t>图4-3 首页界面</w:t>
            </w:r>
          </w:p>
          <w:p w14:paraId="6D2AF8F3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 w:cs="宋体"/>
                <w:i/>
                <w:iCs/>
                <w:color w:val="666666"/>
                <w:sz w:val="22"/>
                <w:szCs w:val="22"/>
              </w:rPr>
              <w:t>（此处插入截图）</w:t>
            </w:r>
          </w:p>
        </w:tc>
      </w:tr>
    </w:tbl>
    <w:p w14:paraId="5570CAF4">
      <w:pPr>
        <w:spacing w:before="0" w:after="0" w:line="240" w:lineRule="auto"/>
        <w:ind w:firstLine="0"/>
        <w:jc w:val="both"/>
      </w:pPr>
    </w:p>
    <w:p w14:paraId="09EAB369">
      <w:pPr>
        <w:spacing w:before="0" w:after="0" w:line="240" w:lineRule="auto"/>
        <w:ind w:firstLine="0"/>
        <w:jc w:val="both"/>
      </w:pPr>
    </w:p>
    <w:p w14:paraId="73A44BC1">
      <w:pPr>
        <w:pStyle w:val="2"/>
        <w:spacing w:before="220" w:after="120" w:line="320" w:lineRule="auto"/>
        <w:ind w:firstLine="0"/>
        <w:jc w:val="left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4.4 课程浏览与课程详情模块</w:t>
      </w:r>
    </w:p>
    <w:p w14:paraId="1008540F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课程模块由课程列表和课程详情两个层次构成。课程列表支持按课程名称、教师和课程类型进行筛选，便于学生快速定位目标课程；课程详情则展示课程封面、课程简介、学分、授课教师、开始结束时间以及适用班级等信息。进入课程详情后，页面左侧展示课程总览和全部资源，右侧按章节推进学习。视频资源可以直接进入播放页，附件资源则通过下载方式打开，课程学习链路由此被完整串联起来。</w:t>
      </w:r>
    </w:p>
    <w:p w14:paraId="5F3578FA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学生在课程详情中点击立即选课后，系统会调用选课接口生成选课记录，同时结合我的课程接口判断是否已经选课。课程详情页还会联动学习进度接口，将已完成和未完成的资源进度回显到页面中。</w:t>
      </w:r>
    </w:p>
    <w:tbl>
      <w:tblPr>
        <w:tblStyle w:val="6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shd w:val="clear" w:color="auto" w:fill="FBFBFB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0F9AC383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shd w:val="clear" w:color="auto" w:fill="FBFBFB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1800" w:hRule="atLeast"/>
        </w:trPr>
        <w:tc>
          <w:tcPr>
            <w:tcW w:w="902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899E">
            <w:pPr>
              <w:spacing w:before="60" w:after="40" w:line="30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0"/>
                <w:szCs w:val="20"/>
              </w:rPr>
              <w:t>图4-4 课程列表与课程详情界面</w:t>
            </w:r>
          </w:p>
          <w:p w14:paraId="74F31FE7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 w:cs="宋体"/>
                <w:i/>
                <w:iCs/>
                <w:color w:val="666666"/>
                <w:sz w:val="22"/>
                <w:szCs w:val="22"/>
              </w:rPr>
              <w:t>（此处插入截图）</w:t>
            </w:r>
          </w:p>
        </w:tc>
      </w:tr>
    </w:tbl>
    <w:p w14:paraId="60E1850E">
      <w:pPr>
        <w:spacing w:before="0" w:after="0" w:line="240" w:lineRule="auto"/>
        <w:ind w:firstLine="0"/>
        <w:jc w:val="both"/>
      </w:pPr>
    </w:p>
    <w:p w14:paraId="1E90F089">
      <w:pPr>
        <w:spacing w:before="0" w:after="60" w:line="320" w:lineRule="auto"/>
        <w:ind w:firstLine="420"/>
        <w:jc w:val="both"/>
      </w:pPr>
      <w:r>
        <w:rPr>
          <w:rFonts w:ascii="宋体" w:hAnsi="宋体" w:eastAsia="宋体" w:cs="宋体"/>
          <w:b/>
          <w:bCs/>
          <w:color w:val="000000"/>
          <w:sz w:val="22"/>
          <w:szCs w:val="22"/>
        </w:rPr>
        <w:t>关键代码如下：</w:t>
      </w:r>
    </w:p>
    <w:tbl>
      <w:tblPr>
        <w:tblStyle w:val="6"/>
        <w:tblW w:w="9026" w:type="dxa"/>
        <w:tblInd w:w="0" w:type="dxa"/>
        <w:tblBorders>
          <w:top w:val="single" w:color="C8C8C8" w:sz="8" w:space="0"/>
          <w:left w:val="single" w:color="C8C8C8" w:sz="8" w:space="0"/>
          <w:bottom w:val="single" w:color="C8C8C8" w:sz="8" w:space="0"/>
          <w:right w:val="single" w:color="C8C8C8" w:sz="8" w:space="0"/>
          <w:insideH w:val="single" w:color="C8C8C8" w:sz="8" w:space="0"/>
          <w:insideV w:val="single" w:color="C8C8C8" w:sz="8" w:space="0"/>
        </w:tblBorders>
        <w:shd w:val="clear" w:color="auto" w:fill="F4F4F4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3EF10FDC">
        <w:tblPrEx>
          <w:tblBorders>
            <w:top w:val="single" w:color="C8C8C8" w:sz="8" w:space="0"/>
            <w:left w:val="single" w:color="C8C8C8" w:sz="8" w:space="0"/>
            <w:bottom w:val="single" w:color="C8C8C8" w:sz="8" w:space="0"/>
            <w:right w:val="single" w:color="C8C8C8" w:sz="8" w:space="0"/>
            <w:insideH w:val="single" w:color="C8C8C8" w:sz="8" w:space="0"/>
            <w:insideV w:val="single" w:color="C8C8C8" w:sz="8" w:space="0"/>
          </w:tblBorders>
          <w:shd w:val="clear" w:color="auto" w:fill="F4F4F4"/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026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974CF4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async function handleEnroll() {</w:t>
            </w:r>
          </w:p>
          <w:p w14:paraId="31D6919C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if (!session.isLoggedIn) {</w:t>
            </w:r>
          </w:p>
          <w:p w14:paraId="478CEEB7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  showUiToast("请先登录后再选课", "error");</w:t>
            </w:r>
          </w:p>
          <w:p w14:paraId="0E248136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  return;</w:t>
            </w:r>
          </w:p>
          <w:p w14:paraId="1627DCB4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}</w:t>
            </w:r>
          </w:p>
          <w:p w14:paraId="4909ED73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const result = await createCourseEnroll({ kechengId: Number(route.params.id) });</w:t>
            </w:r>
          </w:p>
          <w:p w14:paraId="1221F597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if (result.code !== 0) throw new Error(result.msg || "选课失败");</w:t>
            </w:r>
          </w:p>
          <w:p w14:paraId="43D79C66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enrolled.value = true;</w:t>
            </w:r>
          </w:p>
          <w:p w14:paraId="1939A4A7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}</w:t>
            </w:r>
          </w:p>
          <w:p w14:paraId="75937FA0">
            <w:pPr>
              <w:spacing w:before="0" w:after="0" w:line="280" w:lineRule="auto"/>
              <w:ind w:firstLine="0"/>
              <w:jc w:val="left"/>
            </w:pPr>
          </w:p>
          <w:p w14:paraId="3F8ECAB9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function handleResourceAction(resource: CourseResourceItem) {</w:t>
            </w:r>
          </w:p>
          <w:p w14:paraId="2F27C3F2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if (isVideoResource(resource)) {</w:t>
            </w:r>
          </w:p>
          <w:p w14:paraId="697ADD05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  router.push({ name: "course-video", params: { courseId: route.params.id, resourceId: resource.id } });</w:t>
            </w:r>
          </w:p>
          <w:p w14:paraId="3722EC4A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  return;</w:t>
            </w:r>
          </w:p>
          <w:p w14:paraId="33C35F81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}</w:t>
            </w:r>
          </w:p>
          <w:p w14:paraId="58A08564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window.open(downloadUrl(resource.resourceUrl), "_blank");</w:t>
            </w:r>
          </w:p>
          <w:p w14:paraId="6DA2C6BF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6CE3F565">
      <w:pPr>
        <w:spacing w:before="0" w:after="0" w:line="240" w:lineRule="auto"/>
        <w:ind w:firstLine="0"/>
        <w:jc w:val="both"/>
      </w:pPr>
    </w:p>
    <w:p w14:paraId="6016B4F6">
      <w:pPr>
        <w:pStyle w:val="2"/>
        <w:spacing w:before="220" w:after="120" w:line="320" w:lineRule="auto"/>
        <w:ind w:firstLine="0"/>
        <w:jc w:val="left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4.5 视频学习模块</w:t>
      </w:r>
    </w:p>
    <w:p w14:paraId="560C5DF4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视频学习页面用于承载课程章节中的视频资源播放。页面采用左右分栏布局，左侧显示视频播放器，右侧显示课程信息、当前进度、章节信息和相关说明，便于学生在观看视频时同步掌握学习状态。当视频播放到一定时长后，系统会按照时间片自动保存学习进度；当视频播放结束后，系统会将该资源标记为完成状态，并在再次进入时显示学习完成提示。</w:t>
      </w:r>
    </w:p>
    <w:p w14:paraId="5D5E590D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该页面同时支持视频地址兜底、播放失败切换、离开页面前保存进度和课程资源跳转等处理逻辑，从而保证学习进度记录尽量完整、准确。</w:t>
      </w:r>
    </w:p>
    <w:tbl>
      <w:tblPr>
        <w:tblStyle w:val="6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shd w:val="clear" w:color="auto" w:fill="FBFBFB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1E6682BC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shd w:val="clear" w:color="auto" w:fill="FBFBFB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1800" w:hRule="atLeast"/>
        </w:trPr>
        <w:tc>
          <w:tcPr>
            <w:tcW w:w="902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EE1C7">
            <w:pPr>
              <w:spacing w:before="60" w:after="40" w:line="30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0"/>
                <w:szCs w:val="20"/>
              </w:rPr>
              <w:t>图4-5 视频学习界面</w:t>
            </w:r>
          </w:p>
          <w:p w14:paraId="36D7F0A3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 w:cs="宋体"/>
                <w:i/>
                <w:iCs/>
                <w:color w:val="666666"/>
                <w:sz w:val="22"/>
                <w:szCs w:val="22"/>
              </w:rPr>
              <w:t>（此处插入截图）</w:t>
            </w:r>
          </w:p>
        </w:tc>
      </w:tr>
    </w:tbl>
    <w:p w14:paraId="6D1D0499">
      <w:pPr>
        <w:spacing w:before="0" w:after="0" w:line="240" w:lineRule="auto"/>
        <w:ind w:firstLine="0"/>
        <w:jc w:val="both"/>
      </w:pPr>
    </w:p>
    <w:p w14:paraId="20D8924A">
      <w:pPr>
        <w:spacing w:before="0" w:after="60" w:line="320" w:lineRule="auto"/>
        <w:ind w:firstLine="420"/>
        <w:jc w:val="both"/>
      </w:pPr>
      <w:r>
        <w:rPr>
          <w:rFonts w:ascii="宋体" w:hAnsi="宋体" w:eastAsia="宋体" w:cs="宋体"/>
          <w:b/>
          <w:bCs/>
          <w:color w:val="000000"/>
          <w:sz w:val="22"/>
          <w:szCs w:val="22"/>
        </w:rPr>
        <w:t>关键代码如下：</w:t>
      </w:r>
    </w:p>
    <w:tbl>
      <w:tblPr>
        <w:tblStyle w:val="6"/>
        <w:tblW w:w="9026" w:type="dxa"/>
        <w:tblInd w:w="0" w:type="dxa"/>
        <w:tblBorders>
          <w:top w:val="single" w:color="C8C8C8" w:sz="8" w:space="0"/>
          <w:left w:val="single" w:color="C8C8C8" w:sz="8" w:space="0"/>
          <w:bottom w:val="single" w:color="C8C8C8" w:sz="8" w:space="0"/>
          <w:right w:val="single" w:color="C8C8C8" w:sz="8" w:space="0"/>
          <w:insideH w:val="single" w:color="C8C8C8" w:sz="8" w:space="0"/>
          <w:insideV w:val="single" w:color="C8C8C8" w:sz="8" w:space="0"/>
        </w:tblBorders>
        <w:shd w:val="clear" w:color="auto" w:fill="F4F4F4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49EE2AA9">
        <w:tblPrEx>
          <w:tblBorders>
            <w:top w:val="single" w:color="C8C8C8" w:sz="8" w:space="0"/>
            <w:left w:val="single" w:color="C8C8C8" w:sz="8" w:space="0"/>
            <w:bottom w:val="single" w:color="C8C8C8" w:sz="8" w:space="0"/>
            <w:right w:val="single" w:color="C8C8C8" w:sz="8" w:space="0"/>
            <w:insideH w:val="single" w:color="C8C8C8" w:sz="8" w:space="0"/>
            <w:insideV w:val="single" w:color="C8C8C8" w:sz="8" w:space="0"/>
          </w:tblBorders>
          <w:shd w:val="clear" w:color="auto" w:fill="F4F4F4"/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026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73891D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async function handleTimeUpdate() {</w:t>
            </w:r>
          </w:p>
          <w:p w14:paraId="1D7DF4D0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const currentSeconds = Math.floor(videoRef.value?.currentTime || 0);</w:t>
            </w:r>
          </w:p>
          <w:p w14:paraId="11C7FFC5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if (currentSeconds - lastSavedSeconds.value &lt; 5) {</w:t>
            </w:r>
          </w:p>
          <w:p w14:paraId="212DF4A8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  return;</w:t>
            </w:r>
          </w:p>
          <w:p w14:paraId="5FE0BA37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}</w:t>
            </w:r>
          </w:p>
          <w:p w14:paraId="43222D0E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pendingSeekSeconds.value = currentSeconds;</w:t>
            </w:r>
          </w:p>
          <w:p w14:paraId="559A1F5A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await ensureSaved(false);</w:t>
            </w:r>
          </w:p>
          <w:p w14:paraId="737C6422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}</w:t>
            </w:r>
          </w:p>
          <w:p w14:paraId="6CC93DA3">
            <w:pPr>
              <w:spacing w:before="0" w:after="0" w:line="280" w:lineRule="auto"/>
              <w:ind w:firstLine="0"/>
              <w:jc w:val="left"/>
            </w:pPr>
          </w:p>
          <w:p w14:paraId="64DD33FB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async function handleEnded() {</w:t>
            </w:r>
          </w:p>
          <w:p w14:paraId="2FC1B93F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pendingSeekSeconds.value = 0;</w:t>
            </w:r>
          </w:p>
          <w:p w14:paraId="09E5F68F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await ensureSaved(true);</w:t>
            </w:r>
          </w:p>
          <w:p w14:paraId="27CB1CF2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overlayDismissed.value = false;</w:t>
            </w:r>
          </w:p>
          <w:p w14:paraId="21768E3C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146ADB46">
      <w:pPr>
        <w:spacing w:before="0" w:after="0" w:line="240" w:lineRule="auto"/>
        <w:ind w:firstLine="0"/>
        <w:jc w:val="both"/>
      </w:pPr>
    </w:p>
    <w:p w14:paraId="3E353BC3">
      <w:pPr>
        <w:pStyle w:val="2"/>
        <w:spacing w:before="220" w:after="120" w:line="320" w:lineRule="auto"/>
        <w:ind w:firstLine="0"/>
        <w:jc w:val="left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4.6 公告模块</w:t>
      </w:r>
    </w:p>
    <w:p w14:paraId="4A370942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公告模块用于展示系统发布的通知信息，页面支持按标题、公告类型和发布时间顺序筛选。列表采用卡片形式呈现，公告封面、标题、摘要和发布时间均在同一视图中直观显示。用户在首页或公告页中均可快速查看公告内容，从而及时获取课程安排、系统通知和学习提醒等信息。</w:t>
      </w:r>
    </w:p>
    <w:p w14:paraId="2DCB5F9D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公告模块保持了较强的可读性，长文本会在前台进行摘要截取，防止列表页因内容过长而破坏整体布局。</w:t>
      </w:r>
    </w:p>
    <w:tbl>
      <w:tblPr>
        <w:tblStyle w:val="6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shd w:val="clear" w:color="auto" w:fill="FBFBFB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2C93A98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1800" w:hRule="atLeast"/>
        </w:trPr>
        <w:tc>
          <w:tcPr>
            <w:tcW w:w="902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7FC7">
            <w:pPr>
              <w:spacing w:before="60" w:after="40" w:line="30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0"/>
                <w:szCs w:val="20"/>
              </w:rPr>
              <w:t>图4-6 公告列表界面</w:t>
            </w:r>
          </w:p>
          <w:p w14:paraId="270E2EF2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 w:cs="宋体"/>
                <w:i/>
                <w:iCs/>
                <w:color w:val="666666"/>
                <w:sz w:val="22"/>
                <w:szCs w:val="22"/>
              </w:rPr>
              <w:t>（此处插入截图）</w:t>
            </w:r>
          </w:p>
        </w:tc>
      </w:tr>
    </w:tbl>
    <w:p w14:paraId="5CA43899">
      <w:pPr>
        <w:spacing w:before="0" w:after="0" w:line="240" w:lineRule="auto"/>
        <w:ind w:firstLine="0"/>
        <w:jc w:val="both"/>
      </w:pPr>
    </w:p>
    <w:p w14:paraId="33BA9C69">
      <w:pPr>
        <w:spacing w:before="0" w:after="0" w:line="240" w:lineRule="auto"/>
        <w:ind w:firstLine="0"/>
        <w:jc w:val="both"/>
      </w:pPr>
    </w:p>
    <w:p w14:paraId="2A43CFB3">
      <w:pPr>
        <w:pStyle w:val="2"/>
        <w:spacing w:before="220" w:after="120" w:line="320" w:lineRule="auto"/>
        <w:ind w:firstLine="0"/>
        <w:jc w:val="left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4.7 论坛模块</w:t>
      </w:r>
    </w:p>
    <w:p w14:paraId="1E09204E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论坛模块用于承载学生和教师之间的交流内容。页面将主题帖和回复帖统一纳入列表展示，并支持按标题、身份和帖子类型进行筛选。用户可以在列表中直接查看帖子内容摘要，也可以进入帖子详情继续浏览讨论内容，从而形成相对完整的互动链路。</w:t>
      </w:r>
    </w:p>
    <w:p w14:paraId="30D7B151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该模块在展示层面区分了主题帖与回复帖，并保留了发布者身份、帖子状态和发布时间等字段，方便用户快速识别帖子上下文。</w:t>
      </w:r>
    </w:p>
    <w:tbl>
      <w:tblPr>
        <w:tblStyle w:val="6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shd w:val="clear" w:color="auto" w:fill="FBFBFB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28EE9824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shd w:val="clear" w:color="auto" w:fill="FBFBFB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1800" w:hRule="atLeast"/>
        </w:trPr>
        <w:tc>
          <w:tcPr>
            <w:tcW w:w="902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8A47F">
            <w:pPr>
              <w:spacing w:before="60" w:after="40" w:line="30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0"/>
                <w:szCs w:val="20"/>
              </w:rPr>
              <w:t>图4-7 论坛列表界面</w:t>
            </w:r>
          </w:p>
          <w:p w14:paraId="255AC4F6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 w:cs="宋体"/>
                <w:i/>
                <w:iCs/>
                <w:color w:val="666666"/>
                <w:sz w:val="22"/>
                <w:szCs w:val="22"/>
              </w:rPr>
              <w:t>（此处插入截图）</w:t>
            </w:r>
          </w:p>
        </w:tc>
      </w:tr>
    </w:tbl>
    <w:p w14:paraId="3BECF19D">
      <w:pPr>
        <w:spacing w:before="0" w:after="0" w:line="240" w:lineRule="auto"/>
        <w:ind w:firstLine="0"/>
        <w:jc w:val="both"/>
      </w:pPr>
    </w:p>
    <w:p w14:paraId="30F80172">
      <w:pPr>
        <w:spacing w:before="0" w:after="0" w:line="240" w:lineRule="auto"/>
        <w:ind w:firstLine="0"/>
        <w:jc w:val="both"/>
      </w:pPr>
    </w:p>
    <w:p w14:paraId="329F572D">
      <w:pPr>
        <w:pStyle w:val="2"/>
        <w:spacing w:before="220" w:after="120" w:line="320" w:lineRule="auto"/>
        <w:ind w:firstLine="0"/>
        <w:jc w:val="left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4.8 我的课程模块</w:t>
      </w:r>
    </w:p>
    <w:p w14:paraId="37B07B6A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我的课程模块用于展示当前账号已经选课的课程列表，并将学习进度、课程状态、授课教师和结课时间一并展示出来。学生可以从该模块直接回到课程详情页面继续学习，也可以查看课程结算后的学分信息，避免在多个页面之间重复跳转。</w:t>
      </w:r>
    </w:p>
    <w:p w14:paraId="4EB1924F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该页面同时读取课程学分汇总信息，将已发放和待发放的学分结果归纳到课程维度，为后续成绩查看提供统一入口。</w:t>
      </w:r>
    </w:p>
    <w:tbl>
      <w:tblPr>
        <w:tblStyle w:val="6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shd w:val="clear" w:color="auto" w:fill="FBFBFB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34EDBA18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shd w:val="clear" w:color="auto" w:fill="FBFBFB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1800" w:hRule="atLeast"/>
        </w:trPr>
        <w:tc>
          <w:tcPr>
            <w:tcW w:w="902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14FD">
            <w:pPr>
              <w:spacing w:before="60" w:after="40" w:line="30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0"/>
                <w:szCs w:val="20"/>
              </w:rPr>
              <w:t>图4-8 我的课程界面</w:t>
            </w:r>
          </w:p>
          <w:p w14:paraId="7E0F1C32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 w:cs="宋体"/>
                <w:i/>
                <w:iCs/>
                <w:color w:val="666666"/>
                <w:sz w:val="22"/>
                <w:szCs w:val="22"/>
              </w:rPr>
              <w:t>（此处插入截图）</w:t>
            </w:r>
          </w:p>
        </w:tc>
      </w:tr>
    </w:tbl>
    <w:p w14:paraId="7AC51A04">
      <w:pPr>
        <w:spacing w:before="0" w:after="0" w:line="240" w:lineRule="auto"/>
        <w:ind w:firstLine="0"/>
        <w:jc w:val="both"/>
      </w:pPr>
    </w:p>
    <w:p w14:paraId="2F385BB2">
      <w:pPr>
        <w:spacing w:before="0" w:after="0" w:line="240" w:lineRule="auto"/>
        <w:ind w:firstLine="0"/>
        <w:jc w:val="both"/>
      </w:pPr>
    </w:p>
    <w:p w14:paraId="3C8ED355">
      <w:pPr>
        <w:pStyle w:val="2"/>
        <w:spacing w:before="220" w:after="120" w:line="320" w:lineRule="auto"/>
        <w:ind w:firstLine="0"/>
        <w:jc w:val="left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4.9 作业模块</w:t>
      </w:r>
    </w:p>
    <w:p w14:paraId="5D77FDAA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作业模块按照课程维度展示待完成作业，用户可以通过标题、课程和作业类型进行检索。作业详情页则进一步展示作业说明、题目数量、总分、起止时间以及附件信息。学生点击开始作业后，系统会创建作业作答记录，并在详情页中逐题完成填答；提交作业时，系统会保存答题快照和补充说明，便于后续批改和回看。</w:t>
      </w:r>
    </w:p>
    <w:p w14:paraId="1E43A518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当作业处于作答中状态时，页面会允许继续编辑答案；当作业超过截止时间后，页面会根据时间判断禁止再次提交，保证作业流程与业务规则一致。</w:t>
      </w:r>
    </w:p>
    <w:tbl>
      <w:tblPr>
        <w:tblStyle w:val="6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shd w:val="clear" w:color="auto" w:fill="FBFBFB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0A621E5D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shd w:val="clear" w:color="auto" w:fill="FBFBFB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1800" w:hRule="atLeast"/>
        </w:trPr>
        <w:tc>
          <w:tcPr>
            <w:tcW w:w="902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5CBD4">
            <w:pPr>
              <w:spacing w:before="60" w:after="40" w:line="30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0"/>
                <w:szCs w:val="20"/>
              </w:rPr>
              <w:t>图4-9 作业列表与作业详情界面</w:t>
            </w:r>
          </w:p>
          <w:p w14:paraId="4F3ED475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 w:cs="宋体"/>
                <w:i/>
                <w:iCs/>
                <w:color w:val="666666"/>
                <w:sz w:val="22"/>
                <w:szCs w:val="22"/>
              </w:rPr>
              <w:t>（此处插入截图）</w:t>
            </w:r>
          </w:p>
        </w:tc>
      </w:tr>
    </w:tbl>
    <w:p w14:paraId="2950C215">
      <w:pPr>
        <w:spacing w:before="0" w:after="0" w:line="240" w:lineRule="auto"/>
        <w:ind w:firstLine="0"/>
        <w:jc w:val="both"/>
      </w:pPr>
    </w:p>
    <w:p w14:paraId="203AA722">
      <w:pPr>
        <w:spacing w:before="0" w:after="0" w:line="240" w:lineRule="auto"/>
        <w:ind w:firstLine="0"/>
        <w:jc w:val="both"/>
      </w:pPr>
    </w:p>
    <w:p w14:paraId="70908C26">
      <w:pPr>
        <w:pStyle w:val="2"/>
        <w:spacing w:before="220" w:after="120" w:line="320" w:lineRule="auto"/>
        <w:ind w:firstLine="0"/>
        <w:jc w:val="left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4.10 考试模块</w:t>
      </w:r>
    </w:p>
    <w:p w14:paraId="152C22EE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考试模块采用“列表 + 详情 + 作答”的三段式结构。考试列表展示课程、教师、总分、及格分和考试状态，学生点击进入考试后，系统再加载题目并进入计时作答状态。考试页面支持开始考试、继续考试和提交试卷三类操作；考试进行中离开页面时系统会进行提示，避免学生误退出导致试卷状态丢失。</w:t>
      </w:r>
    </w:p>
    <w:p w14:paraId="6ACB368D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提交试卷后，系统会把答题快照发送到后端进行评分，并在页面中同步显示当前成绩、考试状态和剩余作答次数等信息。</w:t>
      </w:r>
    </w:p>
    <w:tbl>
      <w:tblPr>
        <w:tblStyle w:val="6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shd w:val="clear" w:color="auto" w:fill="FBFBFB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7A83D21A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1800" w:hRule="atLeast"/>
        </w:trPr>
        <w:tc>
          <w:tcPr>
            <w:tcW w:w="902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A5C9">
            <w:pPr>
              <w:spacing w:before="60" w:after="40" w:line="30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0"/>
                <w:szCs w:val="20"/>
              </w:rPr>
              <w:t>图4-10 考试列表与考试详情界面</w:t>
            </w:r>
          </w:p>
          <w:p w14:paraId="258D94F5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 w:cs="宋体"/>
                <w:i/>
                <w:iCs/>
                <w:color w:val="666666"/>
                <w:sz w:val="22"/>
                <w:szCs w:val="22"/>
              </w:rPr>
              <w:t>（此处插入截图）</w:t>
            </w:r>
          </w:p>
        </w:tc>
      </w:tr>
    </w:tbl>
    <w:p w14:paraId="55FAA742">
      <w:pPr>
        <w:spacing w:before="0" w:after="0" w:line="240" w:lineRule="auto"/>
        <w:ind w:firstLine="0"/>
        <w:jc w:val="both"/>
      </w:pPr>
    </w:p>
    <w:p w14:paraId="6F66BA48">
      <w:pPr>
        <w:spacing w:before="0" w:after="60" w:line="320" w:lineRule="auto"/>
        <w:ind w:firstLine="420"/>
        <w:jc w:val="both"/>
      </w:pPr>
      <w:r>
        <w:rPr>
          <w:rFonts w:ascii="宋体" w:hAnsi="宋体" w:eastAsia="宋体" w:cs="宋体"/>
          <w:b/>
          <w:bCs/>
          <w:color w:val="000000"/>
          <w:sz w:val="22"/>
          <w:szCs w:val="22"/>
        </w:rPr>
        <w:t>关键代码如下：</w:t>
      </w:r>
    </w:p>
    <w:tbl>
      <w:tblPr>
        <w:tblStyle w:val="6"/>
        <w:tblW w:w="9026" w:type="dxa"/>
        <w:tblInd w:w="0" w:type="dxa"/>
        <w:tblBorders>
          <w:top w:val="single" w:color="C8C8C8" w:sz="8" w:space="0"/>
          <w:left w:val="single" w:color="C8C8C8" w:sz="8" w:space="0"/>
          <w:bottom w:val="single" w:color="C8C8C8" w:sz="8" w:space="0"/>
          <w:right w:val="single" w:color="C8C8C8" w:sz="8" w:space="0"/>
          <w:insideH w:val="single" w:color="C8C8C8" w:sz="8" w:space="0"/>
          <w:insideV w:val="single" w:color="C8C8C8" w:sz="8" w:space="0"/>
        </w:tblBorders>
        <w:shd w:val="clear" w:color="auto" w:fill="F4F4F4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42984D59">
        <w:tblPrEx>
          <w:tblBorders>
            <w:top w:val="single" w:color="C8C8C8" w:sz="8" w:space="0"/>
            <w:left w:val="single" w:color="C8C8C8" w:sz="8" w:space="0"/>
            <w:bottom w:val="single" w:color="C8C8C8" w:sz="8" w:space="0"/>
            <w:right w:val="single" w:color="C8C8C8" w:sz="8" w:space="0"/>
            <w:insideH w:val="single" w:color="C8C8C8" w:sz="8" w:space="0"/>
            <w:insideV w:val="single" w:color="C8C8C8" w:sz="8" w:space="0"/>
          </w:tblBorders>
          <w:shd w:val="clear" w:color="auto" w:fill="F4F4F4"/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026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0E0BE0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async function startNewAttempt() {</w:t>
            </w:r>
          </w:p>
          <w:p w14:paraId="04C730D4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const result = await startExam({ examId: Number(route.params.id) });</w:t>
            </w:r>
          </w:p>
          <w:p w14:paraId="158FA071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if (result.code !== 0) throw new Error(result.msg || "开始考试失败");</w:t>
            </w:r>
          </w:p>
          <w:p w14:paraId="575CA285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applyRecord(result.data, false);</w:t>
            </w:r>
          </w:p>
          <w:p w14:paraId="2A93C310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showQuestions.value = true;</w:t>
            </w:r>
          </w:p>
          <w:p w14:paraId="50989EAB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}</w:t>
            </w:r>
          </w:p>
          <w:p w14:paraId="656575F3">
            <w:pPr>
              <w:spacing w:before="0" w:after="0" w:line="280" w:lineRule="auto"/>
              <w:ind w:firstLine="0"/>
              <w:jc w:val="left"/>
            </w:pPr>
          </w:p>
          <w:p w14:paraId="48008EE8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async function submitCurrentExam(byTimeout = false) {</w:t>
            </w:r>
          </w:p>
          <w:p w14:paraId="5AB6C356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const result = await submitExam({ id: recordId.value, answerSnapshot: JSON.stringify(answers) });</w:t>
            </w:r>
          </w:p>
          <w:p w14:paraId="6D9D1BA9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if (result.code !== 0) throw new Error(result.msg || "提交失败");</w:t>
            </w:r>
          </w:p>
          <w:p w14:paraId="2CB1C61A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const latest = await loadLatestRecord();</w:t>
            </w:r>
          </w:p>
          <w:p w14:paraId="2DE3D6DE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applyRecord(latest, false);</w:t>
            </w:r>
          </w:p>
          <w:p w14:paraId="2ADCE0DA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014AB963">
      <w:pPr>
        <w:spacing w:before="0" w:after="0" w:line="240" w:lineRule="auto"/>
        <w:ind w:firstLine="0"/>
        <w:jc w:val="both"/>
      </w:pPr>
    </w:p>
    <w:p w14:paraId="46D99599">
      <w:pPr>
        <w:pStyle w:val="2"/>
        <w:spacing w:before="220" w:after="120" w:line="320" w:lineRule="auto"/>
        <w:ind w:firstLine="0"/>
        <w:jc w:val="left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4.11 会议模块</w:t>
      </w:r>
    </w:p>
    <w:p w14:paraId="4BCEF8B3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会议模块主要用于展示开会通知和相关安排。页面支持按会议标题、会议类型和发布时间顺序浏览，用户可以直接查看会议摘要并进入详情页。该模块与公告模块保持一致的视觉风格，便于用户快速识别公共通知类信息。</w:t>
      </w:r>
    </w:p>
    <w:p w14:paraId="3F52713E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会议详情页进一步展示会议内容、时间安排和补充说明，为课程相关会议的查看和提醒提供统一入口。</w:t>
      </w:r>
    </w:p>
    <w:tbl>
      <w:tblPr>
        <w:tblStyle w:val="6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shd w:val="clear" w:color="auto" w:fill="FBFBFB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7E70D557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shd w:val="clear" w:color="auto" w:fill="FBFBFB"/>
        </w:tblPrEx>
        <w:trPr>
          <w:trHeight w:val="1800" w:hRule="atLeast"/>
        </w:trPr>
        <w:tc>
          <w:tcPr>
            <w:tcW w:w="902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572C">
            <w:pPr>
              <w:spacing w:before="60" w:after="40" w:line="30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0"/>
                <w:szCs w:val="20"/>
              </w:rPr>
              <w:t>图4-11 会议列表与会议详情界面</w:t>
            </w:r>
          </w:p>
          <w:p w14:paraId="77D7220A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 w:cs="宋体"/>
                <w:i/>
                <w:iCs/>
                <w:color w:val="666666"/>
                <w:sz w:val="22"/>
                <w:szCs w:val="22"/>
              </w:rPr>
              <w:t>（此处插入截图）</w:t>
            </w:r>
          </w:p>
        </w:tc>
      </w:tr>
    </w:tbl>
    <w:p w14:paraId="380AE3EC">
      <w:pPr>
        <w:spacing w:before="0" w:after="0" w:line="240" w:lineRule="auto"/>
        <w:ind w:firstLine="0"/>
        <w:jc w:val="both"/>
      </w:pPr>
    </w:p>
    <w:p w14:paraId="039FE2E6">
      <w:pPr>
        <w:spacing w:before="0" w:after="0" w:line="240" w:lineRule="auto"/>
        <w:ind w:firstLine="0"/>
        <w:jc w:val="both"/>
      </w:pPr>
    </w:p>
    <w:p w14:paraId="6F44D070">
      <w:pPr>
        <w:pStyle w:val="2"/>
        <w:spacing w:before="220" w:after="120" w:line="320" w:lineRule="auto"/>
        <w:ind w:firstLine="0"/>
        <w:jc w:val="left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4.12 个人中心模块</w:t>
      </w:r>
    </w:p>
    <w:p w14:paraId="174C94C0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个人中心模块用于展示学生的基础资料和学习概览。页面左侧显示头像、账号、学号和班级信息，右侧提供姓名、手机号、邮箱和头像的编辑入口。用户在个人中心中完成头像上传后，系统会直接调用文件上传接口，并在保存时将最新资料写回学生档案，从而保证账号资料与实际信息保持一致。</w:t>
      </w:r>
    </w:p>
    <w:p w14:paraId="0ACC33AD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个人中心下方还汇总了待学课程、已学课程、待批作业、通过考试和累计学分等统计信息，帮助用户从整体上掌握学习进度。</w:t>
      </w:r>
    </w:p>
    <w:tbl>
      <w:tblPr>
        <w:tblStyle w:val="6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shd w:val="clear" w:color="auto" w:fill="FBFBFB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3E5760F0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shd w:val="clear" w:color="auto" w:fill="FBFBFB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1800" w:hRule="atLeast"/>
        </w:trPr>
        <w:tc>
          <w:tcPr>
            <w:tcW w:w="902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3937B">
            <w:pPr>
              <w:spacing w:before="60" w:after="40" w:line="30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0"/>
                <w:szCs w:val="20"/>
              </w:rPr>
              <w:t>图4-12 个人中心界面</w:t>
            </w:r>
          </w:p>
          <w:p w14:paraId="2D6C2512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 w:cs="宋体"/>
                <w:i/>
                <w:iCs/>
                <w:color w:val="666666"/>
                <w:sz w:val="22"/>
                <w:szCs w:val="22"/>
              </w:rPr>
              <w:t>（此处插入截图）</w:t>
            </w:r>
          </w:p>
        </w:tc>
      </w:tr>
    </w:tbl>
    <w:p w14:paraId="3C22C463">
      <w:pPr>
        <w:spacing w:before="0" w:after="0" w:line="240" w:lineRule="auto"/>
        <w:ind w:firstLine="0"/>
        <w:jc w:val="both"/>
      </w:pPr>
    </w:p>
    <w:p w14:paraId="5C636529">
      <w:pPr>
        <w:spacing w:before="0" w:after="0" w:line="240" w:lineRule="auto"/>
        <w:ind w:firstLine="0"/>
        <w:jc w:val="both"/>
      </w:pPr>
    </w:p>
    <w:p w14:paraId="47308F6E">
      <w:pPr>
        <w:pStyle w:val="2"/>
        <w:spacing w:before="220" w:after="120" w:line="320" w:lineRule="auto"/>
        <w:ind w:firstLine="0"/>
        <w:jc w:val="left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4.13 智能问答模块</w:t>
      </w:r>
    </w:p>
    <w:p w14:paraId="1AD325E2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智能问答模块作为前台的辅助功能，既可以在公共浏览场景下提供系统导航问答，也可以在课程学习场景下提供课程相关问答。系统会根据当前页面和课程上下文生成推荐问题，并将会话、消息和推荐问题统一保存，保证问答过程可以连续追溯。</w:t>
      </w:r>
    </w:p>
    <w:p w14:paraId="34CEE07A">
      <w:pPr>
        <w:spacing w:before="0" w:after="12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该模块与前台主导航共用统一入口，用户点击问 AI 后即可进入独立问答界面，从而围绕课程学习、作业、考试、成绩和系统操作等问题获取辅助信息。</w:t>
      </w:r>
    </w:p>
    <w:tbl>
      <w:tblPr>
        <w:tblStyle w:val="6"/>
        <w:tblW w:w="9026" w:type="dxa"/>
        <w:tblInd w:w="0" w:type="dxa"/>
        <w:tblBorders>
          <w:top w:val="single" w:color="BFBFBF" w:sz="8" w:space="0"/>
          <w:left w:val="single" w:color="BFBFBF" w:sz="8" w:space="0"/>
          <w:bottom w:val="single" w:color="BFBFBF" w:sz="8" w:space="0"/>
          <w:right w:val="single" w:color="BFBFBF" w:sz="8" w:space="0"/>
          <w:insideH w:val="single" w:color="BFBFBF" w:sz="8" w:space="0"/>
          <w:insideV w:val="single" w:color="BFBFBF" w:sz="8" w:space="0"/>
        </w:tblBorders>
        <w:shd w:val="clear" w:color="auto" w:fill="FBFBFB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11B9B782">
        <w:tblPrEx>
          <w:tblBorders>
            <w:top w:val="single" w:color="BFBFBF" w:sz="8" w:space="0"/>
            <w:left w:val="single" w:color="BFBFBF" w:sz="8" w:space="0"/>
            <w:bottom w:val="single" w:color="BFBFBF" w:sz="8" w:space="0"/>
            <w:right w:val="single" w:color="BFBFBF" w:sz="8" w:space="0"/>
            <w:insideH w:val="single" w:color="BFBFBF" w:sz="8" w:space="0"/>
            <w:insideV w:val="single" w:color="BFBFBF" w:sz="8" w:space="0"/>
          </w:tblBorders>
          <w:shd w:val="clear" w:color="auto" w:fill="FBFBFB"/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1800" w:hRule="atLeast"/>
        </w:trPr>
        <w:tc>
          <w:tcPr>
            <w:tcW w:w="9026" w:type="dxa"/>
            <w:shd w:val="clear" w:color="auto" w:fill="FBFB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BF20">
            <w:pPr>
              <w:spacing w:before="60" w:after="40" w:line="300" w:lineRule="auto"/>
              <w:ind w:firstLine="0"/>
              <w:jc w:val="center"/>
            </w:pPr>
            <w:r>
              <w:rPr>
                <w:rFonts w:ascii="黑体" w:hAnsi="黑体" w:eastAsia="黑体" w:cs="黑体"/>
                <w:b/>
                <w:bCs/>
                <w:color w:val="000000"/>
                <w:sz w:val="20"/>
                <w:szCs w:val="20"/>
              </w:rPr>
              <w:t>图4-13 智能问答界面</w:t>
            </w:r>
          </w:p>
          <w:p w14:paraId="714E6F4D">
            <w:pPr>
              <w:spacing w:before="0" w:after="0" w:line="300" w:lineRule="auto"/>
              <w:ind w:firstLine="0"/>
              <w:jc w:val="center"/>
            </w:pPr>
            <w:r>
              <w:rPr>
                <w:rFonts w:ascii="宋体" w:hAnsi="宋体" w:eastAsia="宋体" w:cs="宋体"/>
                <w:i/>
                <w:iCs/>
                <w:color w:val="666666"/>
                <w:sz w:val="22"/>
                <w:szCs w:val="22"/>
              </w:rPr>
              <w:t>（此处插入截图）</w:t>
            </w:r>
          </w:p>
        </w:tc>
      </w:tr>
    </w:tbl>
    <w:p w14:paraId="68FD5B7A">
      <w:pPr>
        <w:spacing w:before="0" w:after="0" w:line="240" w:lineRule="auto"/>
        <w:ind w:firstLine="0"/>
        <w:jc w:val="both"/>
      </w:pPr>
    </w:p>
    <w:p w14:paraId="394068E4">
      <w:pPr>
        <w:spacing w:before="0" w:after="60" w:line="320" w:lineRule="auto"/>
        <w:ind w:firstLine="420"/>
        <w:jc w:val="both"/>
      </w:pPr>
      <w:r>
        <w:rPr>
          <w:rFonts w:ascii="宋体" w:hAnsi="宋体" w:eastAsia="宋体" w:cs="宋体"/>
          <w:b/>
          <w:bCs/>
          <w:color w:val="000000"/>
          <w:sz w:val="22"/>
          <w:szCs w:val="22"/>
        </w:rPr>
        <w:t>关键代码如下：</w:t>
      </w:r>
    </w:p>
    <w:tbl>
      <w:tblPr>
        <w:tblStyle w:val="6"/>
        <w:tblW w:w="9026" w:type="dxa"/>
        <w:tblInd w:w="0" w:type="dxa"/>
        <w:tblBorders>
          <w:top w:val="single" w:color="C8C8C8" w:sz="8" w:space="0"/>
          <w:left w:val="single" w:color="C8C8C8" w:sz="8" w:space="0"/>
          <w:bottom w:val="single" w:color="C8C8C8" w:sz="8" w:space="0"/>
          <w:right w:val="single" w:color="C8C8C8" w:sz="8" w:space="0"/>
          <w:insideH w:val="single" w:color="C8C8C8" w:sz="8" w:space="0"/>
          <w:insideV w:val="single" w:color="C8C8C8" w:sz="8" w:space="0"/>
        </w:tblBorders>
        <w:shd w:val="clear" w:color="auto" w:fill="F4F4F4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26"/>
      </w:tblGrid>
      <w:tr w14:paraId="0E40373C">
        <w:tblPrEx>
          <w:tblBorders>
            <w:top w:val="single" w:color="C8C8C8" w:sz="8" w:space="0"/>
            <w:left w:val="single" w:color="C8C8C8" w:sz="8" w:space="0"/>
            <w:bottom w:val="single" w:color="C8C8C8" w:sz="8" w:space="0"/>
            <w:right w:val="single" w:color="C8C8C8" w:sz="8" w:space="0"/>
            <w:insideH w:val="single" w:color="C8C8C8" w:sz="8" w:space="0"/>
            <w:insideV w:val="single" w:color="C8C8C8" w:sz="8" w:space="0"/>
          </w:tblBorders>
          <w:shd w:val="clear" w:color="auto" w:fill="F4F4F4"/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026" w:type="dxa"/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AAF95A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const bizScene = computed(() =&gt; String(route.query.bizScene ?? "system_nav"));</w:t>
            </w:r>
          </w:p>
          <w:p w14:paraId="25C4A1EB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async function ensureSession() {</w:t>
            </w:r>
          </w:p>
          <w:p w14:paraId="4D49A014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if (activeSessionId.value) return activeSessionId.value;</w:t>
            </w:r>
          </w:p>
          <w:p w14:paraId="1AF67563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const result = await createAiSession({ bizScene: bizScene.value, courseId: courseId.value, chapterId: chapterId.value, pageCode: pageCode.value });</w:t>
            </w:r>
          </w:p>
          <w:p w14:paraId="300CED13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activeSessionId.value = result.session.id;</w:t>
            </w:r>
          </w:p>
          <w:p w14:paraId="0AA5CABC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recommendQuestions.value = result.recommendQuestions;</w:t>
            </w:r>
          </w:p>
          <w:p w14:paraId="78EC9EB3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return activeSessionId.value;</w:t>
            </w:r>
          </w:p>
          <w:p w14:paraId="523602A0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}</w:t>
            </w:r>
          </w:p>
          <w:p w14:paraId="2463B31A">
            <w:pPr>
              <w:spacing w:before="0" w:after="0" w:line="280" w:lineRule="auto"/>
              <w:ind w:firstLine="0"/>
              <w:jc w:val="left"/>
            </w:pPr>
          </w:p>
          <w:p w14:paraId="32F201C8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async function handleSend(override?: string) {</w:t>
            </w:r>
          </w:p>
          <w:p w14:paraId="5A4834A6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const sessionId = await ensureSession();</w:t>
            </w:r>
          </w:p>
          <w:p w14:paraId="36969E46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const result = await sendAiMessage({ sessionId, content, bizScene: bizScene.value, courseId: courseId.value, chapterId: chapterId.value, pageCode: pageCode.value });</w:t>
            </w:r>
          </w:p>
          <w:p w14:paraId="03AF412A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 xml:space="preserve">  messages.value = [...messages.value, result.userMessage, result.assistantMessage];</w:t>
            </w:r>
          </w:p>
          <w:p w14:paraId="6C19C704">
            <w:pPr>
              <w:spacing w:before="0" w:after="0" w:line="280" w:lineRule="auto"/>
              <w:ind w:firstLine="0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28B715DB">
      <w:pPr>
        <w:spacing w:before="220" w:after="180" w:line="360" w:lineRule="auto"/>
        <w:ind w:firstLine="420"/>
        <w:jc w:val="both"/>
      </w:pPr>
      <w:r>
        <w:rPr>
          <w:rFonts w:ascii="宋体" w:hAnsi="宋体" w:eastAsia="宋体" w:cs="宋体"/>
          <w:color w:val="000000"/>
          <w:sz w:val="24"/>
          <w:szCs w:val="24"/>
        </w:rPr>
        <w:t>本节对前台模块的主要页面、核心交互和关键代码进行了说明。前台功能已经按照登录、导航、课程学习、作业考试、个人中心和智能问答的顺序完成组织，后续只需结合实际运行截图补齐图示即可。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1944054"/>
    <w:rsid w:val="254F1289"/>
    <w:rsid w:val="3F3146B5"/>
    <w:rsid w:val="61E831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宋体" w:hAnsi="宋体" w:eastAsia="宋体" w:cs="宋体"/>
      <w:sz w:val="24"/>
      <w:szCs w:val="24"/>
    </w:rPr>
  </w:style>
  <w:style w:type="paragraph" w:styleId="2">
    <w:name w:val="heading 1"/>
    <w:basedOn w:val="1"/>
    <w:next w:val="1"/>
    <w:qFormat/>
    <w:uiPriority w:val="0"/>
    <w:rPr>
      <w:rFonts w:ascii="黑体" w:hAnsi="黑体" w:eastAsia="黑体" w:cs="黑体"/>
      <w:b/>
      <w:sz w:val="28"/>
      <w:szCs w:val="28"/>
    </w:rPr>
  </w:style>
  <w:style w:type="paragraph" w:styleId="3">
    <w:name w:val="heading 2"/>
    <w:basedOn w:val="1"/>
    <w:next w:val="1"/>
    <w:qFormat/>
    <w:uiPriority w:val="0"/>
    <w:rPr>
      <w:rFonts w:ascii="黑体" w:hAnsi="黑体" w:eastAsia="黑体" w:cs="黑体"/>
      <w:b/>
      <w:sz w:val="24"/>
      <w:szCs w:val="24"/>
    </w:rPr>
  </w:style>
  <w:style w:type="paragraph" w:styleId="4">
    <w:name w:val="heading 3"/>
    <w:basedOn w:val="1"/>
    <w:next w:val="1"/>
    <w:qFormat/>
    <w:uiPriority w:val="0"/>
    <w:rPr>
      <w:rFonts w:ascii="黑体" w:hAnsi="黑体" w:eastAsia="黑体" w:cs="黑体"/>
      <w:b/>
      <w:sz w:val="22"/>
      <w:szCs w:val="2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qFormat/>
    <w:uiPriority w:val="0"/>
    <w:pPr>
      <w:spacing w:before="240" w:after="220" w:line="360" w:lineRule="auto"/>
      <w:jc w:val="center"/>
    </w:pPr>
    <w:rPr>
      <w:rFonts w:ascii="黑体" w:hAnsi="黑体" w:eastAsia="黑体" w:cs="黑体"/>
      <w:b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3629</Words>
  <Characters>6272</Characters>
  <TotalTime>0</TotalTime>
  <ScaleCrop>false</ScaleCrop>
  <LinksUpToDate>false</LinksUpToDate>
  <CharactersWithSpaces>6717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2026-05-08T09:00:00Z</dcterms:created>
  <dc:creator>Codex</dc:creator>
  <cp:lastModifiedBy>执念</cp:lastModifiedBy>
  <dcterms:modified xsi:type="dcterms:W3CDTF">2026-05-08T09:53:39Z</dcterms:modified>
  <dc:subject>前台模块实现部分</dc:subject>
  <dc:title>前台模块实现部分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eyJoZGlkIjoiZTJkYWJjOGI4ZmY0MDhjYmMwMzJlNTM0ZmI4OTkwZjYiLCJ1c2VySWQiOiI5MjAxNDg5MTEifQ==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81BE07D24765471A8EA2406B60D56E9D_12</vt:lpwstr>
  </property>
</Properties>
</file>