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1872"/>
            <w:shd w:fill="0F172A"/>
            <w:tcMar>
              <w:top w:w="180" w:type="dxa"/>
              <w:bottom w:w="180" w:type="dxa"/>
              <w:left w:w="180" w:type="dxa"/>
              <w:right w:w="100" w:type="dxa"/>
            </w:tcMar>
          </w:tcPr>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sentinel-shield.png"/>
                          <pic:cNvPicPr/>
                        </pic:nvPicPr>
                        <pic:blipFill>
                          <a:blip r:embed="rId11"/>
                          <a:stretch>
                            <a:fillRect/>
                          </a:stretch>
                        </pic:blipFill>
                        <pic:spPr>
                          <a:xfrm>
                            <a:off x="0" y="0"/>
                            <a:ext cx="1005840" cy="1005840"/>
                          </a:xfrm>
                          <a:prstGeom prst="rect"/>
                        </pic:spPr>
                      </pic:pic>
                    </a:graphicData>
                  </a:graphic>
                </wp:inline>
              </w:drawing>
            </w:r>
          </w:p>
        </w:tc>
        <w:tc>
          <w:tcPr>
            <w:tcW w:type="dxa" w:w="7488"/>
            <w:shd w:fill="0F172A"/>
            <w:tcMar>
              <w:top w:w="180" w:type="dxa"/>
              <w:bottom w:w="180" w:type="dxa"/>
              <w:left w:w="100" w:type="dxa"/>
              <w:right w:w="180" w:type="dxa"/>
            </w:tcMar>
          </w:tcPr>
          <w:p>
            <w:pPr>
              <w:spacing w:before="80" w:after="40"/>
            </w:pPr>
            <w:r>
              <w:rPr>
                <w:b/>
                <w:color w:val="E5A93C"/>
                <w:sz w:val="17"/>
              </w:rPr>
              <w:t>SMART INDIA HACKATHON 2026  |  THEME: SMART AUTOMATION</w:t>
              <w:br/>
            </w:r>
            <w:r>
              <w:rPr>
                <w:b/>
                <w:color w:val="FFFFFF"/>
                <w:sz w:val="44"/>
              </w:rPr>
              <w:t>SENTINEL-AI</w:t>
              <w:br/>
            </w:r>
            <w:r>
              <w:rPr>
                <w:b/>
                <w:color w:val="CBD5E1"/>
                <w:sz w:val="22"/>
              </w:rPr>
              <w:t>Next-Gen Social Media Threat Intelligence &amp; Coordinated Campaign Defense Platform</w:t>
              <w:br/>
            </w:r>
            <w:r>
              <w:rPr>
                <w:color w:val="94A3B8"/>
                <w:sz w:val="17"/>
              </w:rPr>
              <w:t>Developed by: Team Syntrix  |  Version: 2.4.0 Production  |  Framework: React 19 + Gemini 3.8 Flash</w:t>
            </w:r>
          </w:p>
        </w:tc>
      </w:tr>
    </w:tbl>
    <w:p>
      <w:pPr>
        <w:spacing w:after="240"/>
      </w:pPr>
    </w:p>
    <w:p>
      <w:pPr>
        <w:pStyle w:val="Heading1"/>
        <w:spacing w:before="240" w:after="80"/>
      </w:pPr>
      <w:r>
        <w:rPr>
          <w:rFonts w:ascii="Segoe UI" w:hAnsi="Segoe UI"/>
          <w:b/>
          <w:color w:val="0F172A"/>
          <w:sz w:val="30"/>
        </w:rPr>
        <w:t>1. Executive Summary</w:t>
      </w:r>
    </w:p>
    <w:p>
      <w:pPr>
        <w:spacing w:line="276" w:lineRule="auto" w:after="120"/>
      </w:pPr>
      <w:r>
        <w:t>SENTINEL-AI is a battle-tested, hackathon-ready social media intelligence and cyber defense platform developed by Team Syntrix for the Smart India Hackathon 2026. In modern digital ecosystems, malicious campaigns, coordinated astroturfing, targeted cyberbullying, and synthetic disinformation swarms emerge and spread across fragmented social channels faster than traditional moderation workflows can detect them.</w:t>
      </w:r>
    </w:p>
    <w:p>
      <w:pPr>
        <w:spacing w:line="276" w:lineRule="auto" w:after="160"/>
      </w:pPr>
      <w:r>
        <w:t>SENTINEL-AI bridges this critical divide by pioneering the fusion of real-time social listening analytics with cyber threat intelligence. The platform continuously ingests multi-platform social streams (X/Twitter, Telegram, Instagram, Facebook, Reddit, YouTube), applies deep multimodal natural language understanding powered by Google Gemini 3.8 Flash, computes explainable multi-signal threat scores, maps bot networks through interactive graph topology, and provides automated victim-defense workflows for law enforcement, cyber cells, and trust &amp; safety teams.</w:t>
      </w:r>
    </w:p>
    <w:tbl>
      <w:tblPr>
        <w:tblW w:type="auto" w:w="0"/>
        <w:jc w:val="center"/>
        <w:tblLayout w:type="fixed"/>
        <w:tblLook w:firstColumn="1" w:firstRow="1" w:lastColumn="0" w:lastRow="0" w:noHBand="0" w:noVBand="1" w:val="04A0"/>
      </w:tblPr>
      <w:tblGrid>
        <w:gridCol w:w="9936"/>
      </w:tblGrid>
      <w:tr>
        <w:tc>
          <w:tcPr>
            <w:tcW w:type="dxa" w:w="9360"/>
            <w:shd w:fill="FEF3C7"/>
            <w:tcMar>
              <w:top w:w="160" w:type="dxa"/>
              <w:bottom w:w="160" w:type="dxa"/>
              <w:left w:w="220" w:type="dxa"/>
              <w:right w:w="200" w:type="dxa"/>
            </w:tcMar>
            <w:tcBorders>
              <w:left w:val="single" w:sz="24" w:space="0" w:color="D97706"/>
              <w:top w:val="none"/>
              <w:right w:val="none"/>
              <w:bottom w:val="none"/>
            </w:tcBorders>
          </w:tcPr>
          <w:p>
            <w:pPr>
              <w:spacing w:before="0" w:after="60"/>
            </w:pPr>
            <w:r>
              <w:rPr>
                <w:rFonts w:ascii="Segoe UI" w:hAnsi="Segoe UI"/>
                <w:b/>
                <w:color w:val="0F172A"/>
                <w:sz w:val="20"/>
              </w:rPr>
              <w:t xml:space="preserve">[CORE VALUE PROPOSITION] </w:t>
            </w:r>
            <w:r>
              <w:rPr>
                <w:rFonts w:ascii="Segoe UI" w:hAnsi="Segoe UI"/>
                <w:color w:val="334155"/>
                <w:sz w:val="19"/>
              </w:rPr>
              <w:t>SENTINEL-AI delivers a 5-in-1 unified intelligence architecture that reduces threat detection lead time from hours to under 350 milliseconds while providing 100% explainable mathematical risk scoring.</w:t>
            </w:r>
          </w:p>
        </w:tc>
      </w:tr>
    </w:tbl>
    <w:p>
      <w:pPr>
        <w:spacing w:after="120"/>
      </w:pPr>
    </w:p>
    <w:p>
      <w:pPr>
        <w:pStyle w:val="Heading1"/>
        <w:spacing w:before="280" w:after="80"/>
      </w:pPr>
      <w:r>
        <w:rPr>
          <w:rFonts w:ascii="Segoe UI" w:hAnsi="Segoe UI"/>
          <w:b/>
          <w:color w:val="0F172A"/>
          <w:sz w:val="30"/>
        </w:rPr>
        <w:t>2. Problem Statement &amp; Threat Landscape</w:t>
      </w:r>
    </w:p>
    <w:p>
      <w:r>
        <w:t>Today's information warfare, narrative manipulation, and digital harassment exploit structural blind spots across siloed social networks:</w:t>
      </w:r>
    </w:p>
    <w:p>
      <w:pPr>
        <w:pStyle w:val="ListBullet"/>
        <w:spacing w:after="60" w:line="276" w:lineRule="auto"/>
      </w:pPr>
      <w:r>
        <w:rPr>
          <w:b/>
          <w:color w:val="0F172A"/>
        </w:rPr>
        <w:t xml:space="preserve">Fragmented Platform Signals: </w:t>
      </w:r>
      <w:r>
        <w:rPr>
          <w:color w:val="475569"/>
        </w:rPr>
        <w:t>Disinformation operators rarely isolate their efforts to a single app; coordinated narratives simultaneously cross-seed on X, Telegram channels, Instagram Reels, and Reddit threads without centralized correlation.</w:t>
      </w:r>
    </w:p>
    <w:p>
      <w:pPr>
        <w:pStyle w:val="ListBullet"/>
        <w:spacing w:after="60" w:line="276" w:lineRule="auto"/>
      </w:pPr>
      <w:r>
        <w:rPr>
          <w:b/>
          <w:color w:val="0F172A"/>
        </w:rPr>
        <w:t xml:space="preserve">Superficial Sentiment Analysis: </w:t>
      </w:r>
      <w:r>
        <w:rPr>
          <w:color w:val="475569"/>
        </w:rPr>
        <w:t>Legacy tools categorize text purely as 'positive/negative/neutral', completely missing weaponized sarcasm, disguised hate speech, and organized hostility.</w:t>
      </w:r>
    </w:p>
    <w:p>
      <w:pPr>
        <w:pStyle w:val="ListBullet"/>
        <w:spacing w:after="60" w:line="276" w:lineRule="auto"/>
      </w:pPr>
      <w:r>
        <w:rPr>
          <w:b/>
          <w:color w:val="0F172A"/>
        </w:rPr>
        <w:t xml:space="preserve">Masked Bot Swarms &amp; Sockpuppets: </w:t>
      </w:r>
      <w:r>
        <w:rPr>
          <w:color w:val="475569"/>
        </w:rPr>
        <w:t>Automated bot rings leverage fabricated account metadata, staggered posting tempos, and rotating proxies to evade conventional keyword and frequency filters.</w:t>
      </w:r>
    </w:p>
    <w:p>
      <w:pPr>
        <w:pStyle w:val="ListBullet"/>
        <w:spacing w:after="60" w:line="276" w:lineRule="auto"/>
      </w:pPr>
      <w:r>
        <w:rPr>
          <w:b/>
          <w:color w:val="0F172A"/>
        </w:rPr>
        <w:t xml:space="preserve">Missing Early Trend Shifts: </w:t>
      </w:r>
      <w:r>
        <w:rPr>
          <w:color w:val="475569"/>
        </w:rPr>
        <w:t>Astroturfed propaganda campaigns operate below viral algorithmic thresholds until they reach critical mass, rendering reactive moderation ineffective.</w:t>
      </w:r>
    </w:p>
    <w:p>
      <w:pPr>
        <w:pStyle w:val="ListBullet"/>
        <w:spacing w:after="60" w:line="276" w:lineRule="auto"/>
      </w:pPr>
      <w:r>
        <w:rPr>
          <w:b/>
          <w:color w:val="0F172A"/>
        </w:rPr>
        <w:t xml:space="preserve">Unchecked Cyberbullying &amp; Dogpiling: </w:t>
      </w:r>
      <w:r>
        <w:rPr>
          <w:color w:val="475569"/>
        </w:rPr>
        <w:t>Coordinated harassment blitzes cause acute psychological harm and reputational damage before platform trust &amp; safety teams can assemble actionable forensic evidence.</w:t>
      </w:r>
    </w:p>
    <w:p>
      <w:pPr>
        <w:spacing w:after="120"/>
      </w:pPr>
    </w:p>
    <w:p>
      <w:pPr>
        <w:pStyle w:val="Heading1"/>
        <w:spacing w:before="280" w:after="80"/>
      </w:pPr>
      <w:r>
        <w:rPr>
          <w:rFonts w:ascii="Segoe UI" w:hAnsi="Segoe UI"/>
          <w:b/>
          <w:color w:val="0F172A"/>
          <w:sz w:val="30"/>
        </w:rPr>
        <w:t>3. The SENTINEL-AI Solution: 5-in-1 Architecture</w:t>
      </w:r>
    </w:p>
    <w:p>
      <w:r>
        <w:t>SENTINEL-AI is organized around a dual-layer architectural model that consolidates five core intelligence pillars into a cohesive command interface: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2160"/>
            <w:shd w:fill="0F172A"/>
            <w:tcMar>
              <w:top w:w="140" w:type="dxa"/>
              <w:bottom w:w="140" w:type="dxa"/>
              <w:left w:w="140" w:type="dxa"/>
              <w:right w:w="140" w:type="dxa"/>
            </w:tcMar>
          </w:tcPr>
          <w:p>
            <w:pPr>
              <w:jc w:val="left"/>
            </w:pPr>
            <w:r>
              <w:rPr>
                <w:rFonts w:ascii="Segoe UI" w:hAnsi="Segoe UI"/>
                <w:b/>
                <w:color w:val="FFFFFF"/>
                <w:sz w:val="19"/>
              </w:rPr>
              <w:t>Pillar</w:t>
            </w:r>
          </w:p>
        </w:tc>
        <w:tc>
          <w:tcPr>
            <w:tcW w:type="dxa" w:w="3888"/>
            <w:shd w:fill="0F172A"/>
            <w:tcMar>
              <w:top w:w="140" w:type="dxa"/>
              <w:bottom w:w="140" w:type="dxa"/>
              <w:left w:w="140" w:type="dxa"/>
              <w:right w:w="140" w:type="dxa"/>
            </w:tcMar>
          </w:tcPr>
          <w:p>
            <w:pPr>
              <w:jc w:val="left"/>
            </w:pPr>
            <w:r>
              <w:rPr>
                <w:rFonts w:ascii="Segoe UI" w:hAnsi="Segoe UI"/>
                <w:b/>
                <w:color w:val="FFFFFF"/>
                <w:sz w:val="19"/>
              </w:rPr>
              <w:t>Core Engine &amp; Method</w:t>
            </w:r>
          </w:p>
        </w:tc>
        <w:tc>
          <w:tcPr>
            <w:tcW w:type="dxa" w:w="3312"/>
            <w:shd w:fill="0F172A"/>
            <w:tcMar>
              <w:top w:w="140" w:type="dxa"/>
              <w:bottom w:w="140" w:type="dxa"/>
              <w:left w:w="140" w:type="dxa"/>
              <w:right w:w="140" w:type="dxa"/>
            </w:tcMar>
          </w:tcPr>
          <w:p>
            <w:pPr>
              <w:jc w:val="left"/>
            </w:pPr>
            <w:r>
              <w:rPr>
                <w:rFonts w:ascii="Segoe UI" w:hAnsi="Segoe UI"/>
                <w:b/>
                <w:color w:val="FFFFFF"/>
                <w:sz w:val="19"/>
              </w:rPr>
              <w:t>Key Deliverable</w:t>
            </w:r>
          </w:p>
        </w:tc>
      </w:tr>
      <w:tr>
        <w:tc>
          <w:tcPr>
            <w:tcW w:type="dxa" w:w="2160"/>
            <w:shd w:fill="F8FAFC"/>
            <w:tcMar>
              <w:top w:w="100" w:type="dxa"/>
              <w:bottom w:w="100" w:type="dxa"/>
              <w:left w:w="120" w:type="dxa"/>
              <w:right w:w="120" w:type="dxa"/>
            </w:tcMar>
          </w:tcPr>
          <w:p>
            <w:pPr>
              <w:spacing w:line="264" w:lineRule="auto" w:after="0"/>
            </w:pPr>
            <w:r>
              <w:rPr>
                <w:rFonts w:ascii="Segoe UI" w:hAnsi="Segoe UI"/>
                <w:b/>
                <w:color w:val="0F172A"/>
                <w:sz w:val="18"/>
              </w:rPr>
              <w:t>1. Social &amp; Sentiment Analytics</w:t>
            </w:r>
          </w:p>
        </w:tc>
        <w:tc>
          <w:tcPr>
            <w:tcW w:type="dxa" w:w="3888"/>
            <w:shd w:fill="F8FAFC"/>
            <w:tcMar>
              <w:top w:w="100" w:type="dxa"/>
              <w:bottom w:w="100" w:type="dxa"/>
              <w:left w:w="120" w:type="dxa"/>
              <w:right w:w="120" w:type="dxa"/>
            </w:tcMar>
          </w:tcPr>
          <w:p>
            <w:pPr>
              <w:spacing w:line="264" w:lineRule="auto" w:after="0"/>
            </w:pPr>
            <w:r>
              <w:rPr>
                <w:rFonts w:ascii="Segoe UI" w:hAnsi="Segoe UI"/>
                <w:color w:val="334155"/>
                <w:sz w:val="18"/>
              </w:rPr>
              <w:t>Multimodal NLP emotion classification (Joy, Anger, Fear, Sadness, Neutral) across 6 platforms</w:t>
            </w:r>
          </w:p>
        </w:tc>
        <w:tc>
          <w:tcPr>
            <w:tcW w:type="dxa" w:w="3312"/>
            <w:shd w:fill="F8FAFC"/>
            <w:tcMar>
              <w:top w:w="100" w:type="dxa"/>
              <w:bottom w:w="100" w:type="dxa"/>
              <w:left w:w="120" w:type="dxa"/>
              <w:right w:w="120" w:type="dxa"/>
            </w:tcMar>
          </w:tcPr>
          <w:p>
            <w:pPr>
              <w:spacing w:line="264" w:lineRule="auto" w:after="0"/>
            </w:pPr>
            <w:r>
              <w:rPr>
                <w:rFonts w:ascii="Segoe UI" w:hAnsi="Segoe UI"/>
                <w:color w:val="334155"/>
                <w:sz w:val="18"/>
              </w:rPr>
              <w:t>Live sentiment polarity (-1.0 to +1.0) &amp; emotion heatmaps</w:t>
            </w:r>
          </w:p>
        </w:tc>
      </w:tr>
      <w:tr>
        <w:tc>
          <w:tcPr>
            <w:tcW w:type="dxa" w:w="2160"/>
            <w:shd w:fill="FFFFFF"/>
            <w:tcMar>
              <w:top w:w="100" w:type="dxa"/>
              <w:bottom w:w="100" w:type="dxa"/>
              <w:left w:w="120" w:type="dxa"/>
              <w:right w:w="120" w:type="dxa"/>
            </w:tcMar>
          </w:tcPr>
          <w:p>
            <w:pPr>
              <w:spacing w:line="264" w:lineRule="auto" w:after="0"/>
            </w:pPr>
            <w:r>
              <w:rPr>
                <w:rFonts w:ascii="Segoe UI" w:hAnsi="Segoe UI"/>
                <w:b/>
                <w:color w:val="0F172A"/>
                <w:sz w:val="18"/>
              </w:rPr>
              <w:t>2. Trend &amp; Topic Radar</w:t>
            </w:r>
          </w:p>
        </w:tc>
        <w:tc>
          <w:tcPr>
            <w:tcW w:type="dxa" w:w="3888"/>
            <w:shd w:fill="FFFFFF"/>
            <w:tcMar>
              <w:top w:w="100" w:type="dxa"/>
              <w:bottom w:w="100" w:type="dxa"/>
              <w:left w:w="120" w:type="dxa"/>
              <w:right w:w="120" w:type="dxa"/>
            </w:tcMar>
          </w:tcPr>
          <w:p>
            <w:pPr>
              <w:spacing w:line="264" w:lineRule="auto" w:after="0"/>
            </w:pPr>
            <w:r>
              <w:rPr>
                <w:rFonts w:ascii="Segoe UI" w:hAnsi="Segoe UI"/>
                <w:color w:val="334155"/>
                <w:sz w:val="18"/>
              </w:rPr>
              <w:t>Frequency velocity tracking + Momentum indicators (Surging, Steady, Emerging)</w:t>
            </w:r>
          </w:p>
        </w:tc>
        <w:tc>
          <w:tcPr>
            <w:tcW w:type="dxa" w:w="3312"/>
            <w:shd w:fill="FFFFFF"/>
            <w:tcMar>
              <w:top w:w="100" w:type="dxa"/>
              <w:bottom w:w="100" w:type="dxa"/>
              <w:left w:w="120" w:type="dxa"/>
              <w:right w:w="120" w:type="dxa"/>
            </w:tcMar>
          </w:tcPr>
          <w:p>
            <w:pPr>
              <w:spacing w:line="264" w:lineRule="auto" w:after="0"/>
            </w:pPr>
            <w:r>
              <w:rPr>
                <w:rFonts w:ascii="Segoe UI" w:hAnsi="Segoe UI"/>
                <w:color w:val="334155"/>
                <w:sz w:val="18"/>
              </w:rPr>
              <w:t>Early warning for narrative spikes &amp; trending hashtags</w:t>
            </w:r>
          </w:p>
        </w:tc>
      </w:tr>
      <w:tr>
        <w:tc>
          <w:tcPr>
            <w:tcW w:type="dxa" w:w="2160"/>
            <w:shd w:fill="F8FAFC"/>
            <w:tcMar>
              <w:top w:w="100" w:type="dxa"/>
              <w:bottom w:w="100" w:type="dxa"/>
              <w:left w:w="120" w:type="dxa"/>
              <w:right w:w="120" w:type="dxa"/>
            </w:tcMar>
          </w:tcPr>
          <w:p>
            <w:pPr>
              <w:spacing w:line="264" w:lineRule="auto" w:after="0"/>
            </w:pPr>
            <w:r>
              <w:rPr>
                <w:rFonts w:ascii="Segoe UI" w:hAnsi="Segoe UI"/>
                <w:b/>
                <w:color w:val="0F172A"/>
                <w:sz w:val="18"/>
              </w:rPr>
              <w:t>3. Audience &amp; Demographics</w:t>
            </w:r>
          </w:p>
        </w:tc>
        <w:tc>
          <w:tcPr>
            <w:tcW w:type="dxa" w:w="3888"/>
            <w:shd w:fill="F8FAFC"/>
            <w:tcMar>
              <w:top w:w="100" w:type="dxa"/>
              <w:bottom w:w="100" w:type="dxa"/>
              <w:left w:w="120" w:type="dxa"/>
              <w:right w:w="120" w:type="dxa"/>
            </w:tcMar>
          </w:tcPr>
          <w:p>
            <w:pPr>
              <w:spacing w:line="264" w:lineRule="auto" w:after="0"/>
            </w:pPr>
            <w:r>
              <w:rPr>
                <w:rFonts w:ascii="Segoe UI" w:hAnsi="Segoe UI"/>
                <w:color w:val="334155"/>
                <w:sz w:val="18"/>
              </w:rPr>
              <w:t>Behavioral anomaly scoring + Bot probability heuristic (age, post velocity, follower ratio)</w:t>
            </w:r>
          </w:p>
        </w:tc>
        <w:tc>
          <w:tcPr>
            <w:tcW w:type="dxa" w:w="3312"/>
            <w:shd w:fill="F8FAFC"/>
            <w:tcMar>
              <w:top w:w="100" w:type="dxa"/>
              <w:bottom w:w="100" w:type="dxa"/>
              <w:left w:w="120" w:type="dxa"/>
              <w:right w:w="120" w:type="dxa"/>
            </w:tcMar>
          </w:tcPr>
          <w:p>
            <w:pPr>
              <w:spacing w:line="264" w:lineRule="auto" w:after="0"/>
            </w:pPr>
            <w:r>
              <w:rPr>
                <w:rFonts w:ascii="Segoe UI" w:hAnsi="Segoe UI"/>
                <w:color w:val="334155"/>
                <w:sz w:val="18"/>
              </w:rPr>
              <w:t>Identification of synthetic accounts &amp; sockpuppets</w:t>
            </w:r>
          </w:p>
        </w:tc>
      </w:tr>
      <w:tr>
        <w:tc>
          <w:tcPr>
            <w:tcW w:type="dxa" w:w="2160"/>
            <w:shd w:fill="FFFFFF"/>
            <w:tcMar>
              <w:top w:w="100" w:type="dxa"/>
              <w:bottom w:w="100" w:type="dxa"/>
              <w:left w:w="120" w:type="dxa"/>
              <w:right w:w="120" w:type="dxa"/>
            </w:tcMar>
          </w:tcPr>
          <w:p>
            <w:pPr>
              <w:spacing w:line="264" w:lineRule="auto" w:after="0"/>
            </w:pPr>
            <w:r>
              <w:rPr>
                <w:rFonts w:ascii="Segoe UI" w:hAnsi="Segoe UI"/>
                <w:b/>
                <w:color w:val="0F172A"/>
                <w:sz w:val="18"/>
              </w:rPr>
              <w:t>4. Network Graph Intelligence</w:t>
            </w:r>
          </w:p>
        </w:tc>
        <w:tc>
          <w:tcPr>
            <w:tcW w:type="dxa" w:w="3888"/>
            <w:shd w:fill="FFFFFF"/>
            <w:tcMar>
              <w:top w:w="100" w:type="dxa"/>
              <w:bottom w:w="100" w:type="dxa"/>
              <w:left w:w="120" w:type="dxa"/>
              <w:right w:w="120" w:type="dxa"/>
            </w:tcMar>
          </w:tcPr>
          <w:p>
            <w:pPr>
              <w:spacing w:line="264" w:lineRule="auto" w:after="0"/>
            </w:pPr>
            <w:r>
              <w:rPr>
                <w:rFonts w:ascii="Segoe UI" w:hAnsi="Segoe UI"/>
                <w:color w:val="334155"/>
                <w:sz w:val="18"/>
              </w:rPr>
              <w:t>Node-link force-directed graph mapping account connections, shared hashtags, and bridge actors</w:t>
            </w:r>
          </w:p>
        </w:tc>
        <w:tc>
          <w:tcPr>
            <w:tcW w:type="dxa" w:w="3312"/>
            <w:shd w:fill="FFFFFF"/>
            <w:tcMar>
              <w:top w:w="100" w:type="dxa"/>
              <w:bottom w:w="100" w:type="dxa"/>
              <w:left w:w="120" w:type="dxa"/>
              <w:right w:w="120" w:type="dxa"/>
            </w:tcMar>
          </w:tcPr>
          <w:p>
            <w:pPr>
              <w:spacing w:line="264" w:lineRule="auto" w:after="0"/>
            </w:pPr>
            <w:r>
              <w:rPr>
                <w:rFonts w:ascii="Segoe UI" w:hAnsi="Segoe UI"/>
                <w:color w:val="334155"/>
                <w:sz w:val="18"/>
              </w:rPr>
              <w:t>Visual isolation of bot clusters and coordination rings</w:t>
            </w:r>
          </w:p>
        </w:tc>
      </w:tr>
      <w:tr>
        <w:tc>
          <w:tcPr>
            <w:tcW w:type="dxa" w:w="2160"/>
            <w:shd w:fill="F8FAFC"/>
            <w:tcMar>
              <w:top w:w="100" w:type="dxa"/>
              <w:bottom w:w="100" w:type="dxa"/>
              <w:left w:w="120" w:type="dxa"/>
              <w:right w:w="120" w:type="dxa"/>
            </w:tcMar>
          </w:tcPr>
          <w:p>
            <w:pPr>
              <w:spacing w:line="264" w:lineRule="auto" w:after="0"/>
            </w:pPr>
            <w:r>
              <w:rPr>
                <w:rFonts w:ascii="Segoe UI" w:hAnsi="Segoe UI"/>
                <w:b/>
                <w:color w:val="0F172A"/>
                <w:sz w:val="18"/>
              </w:rPr>
              <w:t>5. Cyber Threat &amp; Safety Center</w:t>
            </w:r>
          </w:p>
        </w:tc>
        <w:tc>
          <w:tcPr>
            <w:tcW w:type="dxa" w:w="3888"/>
            <w:shd w:fill="F8FAFC"/>
            <w:tcMar>
              <w:top w:w="100" w:type="dxa"/>
              <w:bottom w:w="100" w:type="dxa"/>
              <w:left w:w="120" w:type="dxa"/>
              <w:right w:w="120" w:type="dxa"/>
            </w:tcMar>
          </w:tcPr>
          <w:p>
            <w:pPr>
              <w:spacing w:line="264" w:lineRule="auto" w:after="0"/>
            </w:pPr>
            <w:r>
              <w:rPr>
                <w:rFonts w:ascii="Segoe UI" w:hAnsi="Segoe UI"/>
                <w:color w:val="334155"/>
                <w:sz w:val="18"/>
              </w:rPr>
              <w:t>Coordinated inauthentic behavior (CIB) detection + 5-factor mathematical risk scoring</w:t>
            </w:r>
          </w:p>
        </w:tc>
        <w:tc>
          <w:tcPr>
            <w:tcW w:type="dxa" w:w="3312"/>
            <w:shd w:fill="F8FAFC"/>
            <w:tcMar>
              <w:top w:w="100" w:type="dxa"/>
              <w:bottom w:w="100" w:type="dxa"/>
              <w:left w:w="120" w:type="dxa"/>
              <w:right w:w="120" w:type="dxa"/>
            </w:tcMar>
          </w:tcPr>
          <w:p>
            <w:pPr>
              <w:spacing w:line="264" w:lineRule="auto" w:after="0"/>
            </w:pPr>
            <w:r>
              <w:rPr>
                <w:rFonts w:ascii="Segoe UI" w:hAnsi="Segoe UI"/>
                <w:color w:val="334155"/>
                <w:sz w:val="18"/>
              </w:rPr>
              <w:t>Automated threat alerts, victim defense, legal evidence log</w:t>
            </w:r>
          </w:p>
        </w:tc>
      </w:tr>
    </w:tbl>
    <w:p>
      <w:pPr>
        <w:spacing w:after="200"/>
      </w:pPr>
    </w:p>
    <w:p>
      <w:pPr>
        <w:pStyle w:val="Heading1"/>
        <w:spacing w:before="280" w:after="80"/>
      </w:pPr>
      <w:r>
        <w:rPr>
          <w:rFonts w:ascii="Segoe UI" w:hAnsi="Segoe UI"/>
          <w:b/>
          <w:color w:val="0F172A"/>
          <w:sz w:val="30"/>
        </w:rPr>
        <w:t>4. Mathematical Formulations &amp; Explainable Scoring</w:t>
      </w:r>
    </w:p>
    <w:p>
      <w:r>
        <w:t>A foundational innovation of SENTINEL-AI is its strictly explainable mathematical Threat Risk Engine. Unlike opaque black-box neural networks, every threat score can be audited by human analysts into its five constitutive components:</w:t>
      </w:r>
    </w:p>
    <w:tbl>
      <w:tblPr>
        <w:tblW w:type="auto" w:w="0"/>
        <w:jc w:val="center"/>
        <w:tblLook w:firstColumn="1" w:firstRow="1" w:lastColumn="0" w:lastRow="0" w:noHBand="0" w:noVBand="1" w:val="04A0"/>
      </w:tblPr>
      <w:tblGrid>
        <w:gridCol w:w="9936"/>
      </w:tblGrid>
      <w:tr>
        <w:tc>
          <w:tcPr>
            <w:tcW w:type="dxa" w:w="9360"/>
            <w:shd w:fill="1E293B"/>
            <w:tcMar>
              <w:top w:w="140" w:type="dxa"/>
              <w:bottom w:w="140" w:type="dxa"/>
              <w:left w:w="180" w:type="dxa"/>
              <w:right w:w="180" w:type="dxa"/>
            </w:tcMar>
          </w:tcPr>
          <w:p>
            <w:pPr>
              <w:jc w:val="center"/>
            </w:pPr>
            <w:r>
              <w:rPr>
                <w:b/>
                <w:color w:val="E5A93C"/>
                <w:sz w:val="18"/>
              </w:rPr>
              <w:t>OVERALL THREAT RISK SCORE (0 – 100) =</w:t>
              <w:br/>
            </w:r>
            <w:r>
              <w:rPr>
                <w:b/>
                <w:color w:val="FFFFFF"/>
                <w:sz w:val="21"/>
              </w:rPr>
              <w:t>30% × NLP Risk  +  20% × Coordination Score  +  20% × Account Behavior Score</w:t>
              <w:br/>
              <w:t>+  15% × Content Similarity  +  15% × Historical Campaign Similarity</w:t>
            </w:r>
          </w:p>
        </w:tc>
      </w:tr>
    </w:tbl>
    <w:p>
      <w:pPr>
        <w:spacing w:after="120"/>
      </w:pPr>
    </w:p>
    <w:p>
      <w:pPr>
        <w:pStyle w:val="ListBullet"/>
        <w:spacing w:after="60" w:line="276" w:lineRule="auto"/>
      </w:pPr>
      <w:r>
        <w:rPr>
          <w:b/>
          <w:color w:val="0F172A"/>
        </w:rPr>
        <w:t xml:space="preserve">NLP Risk (Weight: 30%): </w:t>
      </w:r>
      <w:r>
        <w:rPr>
          <w:color w:val="475569"/>
        </w:rPr>
        <w:t>Synthesized toxicity score (0-100), cyberbullying probability, violent threat intent, and hostile sentiment severity extracted via Gemini 3.8 Flash and deterministic NLP lexical rules.</w:t>
      </w:r>
    </w:p>
    <w:p>
      <w:pPr>
        <w:pStyle w:val="ListBullet"/>
        <w:spacing w:after="60" w:line="276" w:lineRule="auto"/>
      </w:pPr>
      <w:r>
        <w:rPr>
          <w:b/>
          <w:color w:val="0F172A"/>
        </w:rPr>
        <w:t xml:space="preserve">Coordination Score (Weight: 20%): </w:t>
      </w:r>
      <w:r>
        <w:rPr>
          <w:color w:val="475569"/>
        </w:rPr>
        <w:t>A multi-signal heuristic measuring temporal synchronicity (25%), pairwise content similarity (30%), shared hashtag clusters (20%), shared campaign URLs (10%), and activity burst tempo (15%).</w:t>
      </w:r>
    </w:p>
    <w:p>
      <w:pPr>
        <w:pStyle w:val="ListBullet"/>
        <w:spacing w:after="60" w:line="276" w:lineRule="auto"/>
      </w:pPr>
      <w:r>
        <w:rPr>
          <w:b/>
          <w:color w:val="0F172A"/>
        </w:rPr>
        <w:t xml:space="preserve">Account Behavior Score (Weight: 20%): </w:t>
      </w:r>
      <w:r>
        <w:rPr>
          <w:color w:val="475569"/>
        </w:rPr>
        <w:t>Calculated on synthetic anomaly indicators: account age under 30 days (+30 pts), follower-to-following imbalance (+20 pts), bot probability rating, repeated content spam rate, and toxic post history.</w:t>
      </w:r>
    </w:p>
    <w:p>
      <w:pPr>
        <w:pStyle w:val="ListBullet"/>
        <w:spacing w:after="60" w:line="276" w:lineRule="auto"/>
      </w:pPr>
      <w:r>
        <w:rPr>
          <w:b/>
          <w:color w:val="0F172A"/>
        </w:rPr>
        <w:t xml:space="preserve">Content Similarity (Weight: 15%): </w:t>
      </w:r>
      <w:r>
        <w:rPr>
          <w:color w:val="475569"/>
        </w:rPr>
        <w:t>Pairwise Jaccard word-set intersection combined with trigram n-gram matching across posts within the active cluster to detect automated script copy-pasting.</w:t>
      </w:r>
    </w:p>
    <w:p>
      <w:pPr>
        <w:pStyle w:val="ListBullet"/>
        <w:spacing w:after="60" w:line="276" w:lineRule="auto"/>
      </w:pPr>
      <w:r>
        <w:rPr>
          <w:b/>
          <w:color w:val="0F172A"/>
        </w:rPr>
        <w:t xml:space="preserve">Historical Campaign Similarity (Weight: 15%): </w:t>
      </w:r>
      <w:r>
        <w:rPr>
          <w:color w:val="475569"/>
        </w:rPr>
        <w:t>TF-IDF vector space projection and Cosine Similarity matching against known past attack dossiers (e.g., bot astroturfing, financial scams, harassment blitzes).</w:t>
      </w:r>
    </w:p>
    <w:p>
      <w:pPr>
        <w:spacing w:after="80"/>
      </w:pPr>
    </w:p>
    <w:p>
      <w:r>
        <w:rPr>
          <w:b/>
          <w:color w:val="0F172A"/>
          <w:sz w:val="21"/>
        </w:rPr>
        <w:t>Standardized Threat Severity Classification Bands: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1728"/>
            <w:shd w:fill="0F172A"/>
            <w:tcMar>
              <w:top w:w="100" w:type="dxa"/>
              <w:bottom w:w="100" w:type="dxa"/>
              <w:left w:w="100" w:type="dxa"/>
              <w:right w:w="100" w:type="dxa"/>
            </w:tcMar>
          </w:tcPr>
          <w:p>
            <w:r>
              <w:rPr>
                <w:b/>
                <w:color w:val="FFFFFF"/>
                <w:sz w:val="17"/>
              </w:rPr>
              <w:t>Score Range</w:t>
            </w:r>
          </w:p>
        </w:tc>
        <w:tc>
          <w:tcPr>
            <w:tcW w:type="dxa" w:w="1728"/>
            <w:shd w:fill="0F172A"/>
            <w:tcMar>
              <w:top w:w="100" w:type="dxa"/>
              <w:bottom w:w="100" w:type="dxa"/>
              <w:left w:w="100" w:type="dxa"/>
              <w:right w:w="100" w:type="dxa"/>
            </w:tcMar>
          </w:tcPr>
          <w:p>
            <w:r>
              <w:rPr>
                <w:b/>
                <w:color w:val="FFFFFF"/>
                <w:sz w:val="17"/>
              </w:rPr>
              <w:t>Severity Level</w:t>
            </w:r>
          </w:p>
        </w:tc>
        <w:tc>
          <w:tcPr>
            <w:tcW w:type="dxa" w:w="3312"/>
            <w:shd w:fill="0F172A"/>
            <w:tcMar>
              <w:top w:w="100" w:type="dxa"/>
              <w:bottom w:w="100" w:type="dxa"/>
              <w:left w:w="100" w:type="dxa"/>
              <w:right w:w="100" w:type="dxa"/>
            </w:tcMar>
          </w:tcPr>
          <w:p>
            <w:r>
              <w:rPr>
                <w:b/>
                <w:color w:val="FFFFFF"/>
                <w:sz w:val="17"/>
              </w:rPr>
              <w:t>Operational Definition</w:t>
            </w:r>
          </w:p>
        </w:tc>
        <w:tc>
          <w:tcPr>
            <w:tcW w:type="dxa" w:w="2592"/>
            <w:shd w:fill="0F172A"/>
            <w:tcMar>
              <w:top w:w="100" w:type="dxa"/>
              <w:bottom w:w="100" w:type="dxa"/>
              <w:left w:w="100" w:type="dxa"/>
              <w:right w:w="100" w:type="dxa"/>
            </w:tcMar>
          </w:tcPr>
          <w:p>
            <w:r>
              <w:rPr>
                <w:b/>
                <w:color w:val="FFFFFF"/>
                <w:sz w:val="17"/>
              </w:rPr>
              <w:t>Automated System Action</w:t>
            </w:r>
          </w:p>
        </w:tc>
      </w:tr>
      <w:tr>
        <w:tc>
          <w:tcPr>
            <w:tcW w:type="dxa" w:w="1728"/>
            <w:shd w:fill="F0FDF4"/>
            <w:tcMar>
              <w:top w:w="90" w:type="dxa"/>
              <w:bottom w:w="90" w:type="dxa"/>
              <w:left w:w="100" w:type="dxa"/>
              <w:right w:w="100" w:type="dxa"/>
            </w:tcMar>
          </w:tcPr>
          <w:p>
            <w:r>
              <w:rPr>
                <w:color w:val="334155"/>
                <w:sz w:val="17"/>
              </w:rPr>
              <w:t>0 – 30</w:t>
            </w:r>
          </w:p>
        </w:tc>
        <w:tc>
          <w:tcPr>
            <w:tcW w:type="dxa" w:w="1728"/>
            <w:shd w:fill="F0FDF4"/>
            <w:tcMar>
              <w:top w:w="90" w:type="dxa"/>
              <w:bottom w:w="90" w:type="dxa"/>
              <w:left w:w="100" w:type="dxa"/>
              <w:right w:w="100" w:type="dxa"/>
            </w:tcMar>
          </w:tcPr>
          <w:p>
            <w:r>
              <w:rPr>
                <w:b/>
                <w:color w:val="16A34A"/>
                <w:sz w:val="17"/>
              </w:rPr>
              <w:t>LOW</w:t>
            </w:r>
          </w:p>
        </w:tc>
        <w:tc>
          <w:tcPr>
            <w:tcW w:type="dxa" w:w="3312"/>
            <w:shd w:fill="F0FDF4"/>
            <w:tcMar>
              <w:top w:w="90" w:type="dxa"/>
              <w:bottom w:w="90" w:type="dxa"/>
              <w:left w:w="100" w:type="dxa"/>
              <w:right w:w="100" w:type="dxa"/>
            </w:tcMar>
          </w:tcPr>
          <w:p>
            <w:r>
              <w:rPr>
                <w:color w:val="334155"/>
                <w:sz w:val="17"/>
              </w:rPr>
              <w:t>Routine discourse, organic user engagement, low toxicity</w:t>
            </w:r>
          </w:p>
        </w:tc>
        <w:tc>
          <w:tcPr>
            <w:tcW w:type="dxa" w:w="2592"/>
            <w:shd w:fill="F0FDF4"/>
            <w:tcMar>
              <w:top w:w="90" w:type="dxa"/>
              <w:bottom w:w="90" w:type="dxa"/>
              <w:left w:w="100" w:type="dxa"/>
              <w:right w:w="100" w:type="dxa"/>
            </w:tcMar>
          </w:tcPr>
          <w:p>
            <w:r>
              <w:rPr>
                <w:color w:val="334155"/>
                <w:sz w:val="17"/>
              </w:rPr>
              <w:t>Passive logging; standard analytics monitoring</w:t>
            </w:r>
          </w:p>
        </w:tc>
      </w:tr>
      <w:tr>
        <w:tc>
          <w:tcPr>
            <w:tcW w:type="dxa" w:w="1728"/>
            <w:shd w:fill="FEFCE8"/>
            <w:tcMar>
              <w:top w:w="90" w:type="dxa"/>
              <w:bottom w:w="90" w:type="dxa"/>
              <w:left w:w="100" w:type="dxa"/>
              <w:right w:w="100" w:type="dxa"/>
            </w:tcMar>
          </w:tcPr>
          <w:p>
            <w:r>
              <w:rPr>
                <w:color w:val="334155"/>
                <w:sz w:val="17"/>
              </w:rPr>
              <w:t>31 – 60</w:t>
            </w:r>
          </w:p>
        </w:tc>
        <w:tc>
          <w:tcPr>
            <w:tcW w:type="dxa" w:w="1728"/>
            <w:shd w:fill="FEFCE8"/>
            <w:tcMar>
              <w:top w:w="90" w:type="dxa"/>
              <w:bottom w:w="90" w:type="dxa"/>
              <w:left w:w="100" w:type="dxa"/>
              <w:right w:w="100" w:type="dxa"/>
            </w:tcMar>
          </w:tcPr>
          <w:p>
            <w:r>
              <w:rPr>
                <w:b/>
                <w:color w:val="CA8A04"/>
                <w:sz w:val="17"/>
              </w:rPr>
              <w:t>MEDIUM</w:t>
            </w:r>
          </w:p>
        </w:tc>
        <w:tc>
          <w:tcPr>
            <w:tcW w:type="dxa" w:w="3312"/>
            <w:shd w:fill="FEFCE8"/>
            <w:tcMar>
              <w:top w:w="90" w:type="dxa"/>
              <w:bottom w:w="90" w:type="dxa"/>
              <w:left w:w="100" w:type="dxa"/>
              <w:right w:w="100" w:type="dxa"/>
            </w:tcMar>
          </w:tcPr>
          <w:p>
            <w:r>
              <w:rPr>
                <w:color w:val="334155"/>
                <w:sz w:val="17"/>
              </w:rPr>
              <w:t>Isolated negative spikes, borderline toxicity, emerging trend</w:t>
            </w:r>
          </w:p>
        </w:tc>
        <w:tc>
          <w:tcPr>
            <w:tcW w:type="dxa" w:w="2592"/>
            <w:shd w:fill="FEFCE8"/>
            <w:tcMar>
              <w:top w:w="90" w:type="dxa"/>
              <w:bottom w:w="90" w:type="dxa"/>
              <w:left w:w="100" w:type="dxa"/>
              <w:right w:w="100" w:type="dxa"/>
            </w:tcMar>
          </w:tcPr>
          <w:p>
            <w:r>
              <w:rPr>
                <w:color w:val="334155"/>
                <w:sz w:val="17"/>
              </w:rPr>
              <w:t>Flag for automated observation; queue for review</w:t>
            </w:r>
          </w:p>
        </w:tc>
      </w:tr>
      <w:tr>
        <w:tc>
          <w:tcPr>
            <w:tcW w:type="dxa" w:w="1728"/>
            <w:shd w:fill="FFF7ED"/>
            <w:tcMar>
              <w:top w:w="90" w:type="dxa"/>
              <w:bottom w:w="90" w:type="dxa"/>
              <w:left w:w="100" w:type="dxa"/>
              <w:right w:w="100" w:type="dxa"/>
            </w:tcMar>
          </w:tcPr>
          <w:p>
            <w:r>
              <w:rPr>
                <w:color w:val="334155"/>
                <w:sz w:val="17"/>
              </w:rPr>
              <w:t>61 – 80</w:t>
            </w:r>
          </w:p>
        </w:tc>
        <w:tc>
          <w:tcPr>
            <w:tcW w:type="dxa" w:w="1728"/>
            <w:shd w:fill="FFF7ED"/>
            <w:tcMar>
              <w:top w:w="90" w:type="dxa"/>
              <w:bottom w:w="90" w:type="dxa"/>
              <w:left w:w="100" w:type="dxa"/>
              <w:right w:w="100" w:type="dxa"/>
            </w:tcMar>
          </w:tcPr>
          <w:p>
            <w:r>
              <w:rPr>
                <w:b/>
                <w:color w:val="EA580C"/>
                <w:sz w:val="17"/>
              </w:rPr>
              <w:t>HIGH</w:t>
            </w:r>
          </w:p>
        </w:tc>
        <w:tc>
          <w:tcPr>
            <w:tcW w:type="dxa" w:w="3312"/>
            <w:shd w:fill="FFF7ED"/>
            <w:tcMar>
              <w:top w:w="90" w:type="dxa"/>
              <w:bottom w:w="90" w:type="dxa"/>
              <w:left w:w="100" w:type="dxa"/>
              <w:right w:w="100" w:type="dxa"/>
            </w:tcMar>
          </w:tcPr>
          <w:p>
            <w:r>
              <w:rPr>
                <w:color w:val="334155"/>
                <w:sz w:val="17"/>
              </w:rPr>
              <w:t>Coordinated messaging, bot burst activity, targeted hostility</w:t>
            </w:r>
          </w:p>
        </w:tc>
        <w:tc>
          <w:tcPr>
            <w:tcW w:type="dxa" w:w="2592"/>
            <w:shd w:fill="FFF7ED"/>
            <w:tcMar>
              <w:top w:w="90" w:type="dxa"/>
              <w:bottom w:w="90" w:type="dxa"/>
              <w:left w:w="100" w:type="dxa"/>
              <w:right w:w="100" w:type="dxa"/>
            </w:tcMar>
          </w:tcPr>
          <w:p>
            <w:r>
              <w:rPr>
                <w:color w:val="334155"/>
                <w:sz w:val="17"/>
              </w:rPr>
              <w:t>Elevate to active threat queue; human moderator alerted</w:t>
            </w:r>
          </w:p>
        </w:tc>
      </w:tr>
      <w:tr>
        <w:tc>
          <w:tcPr>
            <w:tcW w:type="dxa" w:w="1728"/>
            <w:shd w:fill="FEF2F2"/>
            <w:tcMar>
              <w:top w:w="90" w:type="dxa"/>
              <w:bottom w:w="90" w:type="dxa"/>
              <w:left w:w="100" w:type="dxa"/>
              <w:right w:w="100" w:type="dxa"/>
            </w:tcMar>
          </w:tcPr>
          <w:p>
            <w:r>
              <w:rPr>
                <w:color w:val="334155"/>
                <w:sz w:val="17"/>
              </w:rPr>
              <w:t>81 – 100</w:t>
            </w:r>
          </w:p>
        </w:tc>
        <w:tc>
          <w:tcPr>
            <w:tcW w:type="dxa" w:w="1728"/>
            <w:shd w:fill="FEF2F2"/>
            <w:tcMar>
              <w:top w:w="90" w:type="dxa"/>
              <w:bottom w:w="90" w:type="dxa"/>
              <w:left w:w="100" w:type="dxa"/>
              <w:right w:w="100" w:type="dxa"/>
            </w:tcMar>
          </w:tcPr>
          <w:p>
            <w:r>
              <w:rPr>
                <w:b/>
                <w:color w:val="DC2626"/>
                <w:sz w:val="17"/>
              </w:rPr>
              <w:t>CRITICAL</w:t>
            </w:r>
          </w:p>
        </w:tc>
        <w:tc>
          <w:tcPr>
            <w:tcW w:type="dxa" w:w="3312"/>
            <w:shd w:fill="FEF2F2"/>
            <w:tcMar>
              <w:top w:w="90" w:type="dxa"/>
              <w:bottom w:w="90" w:type="dxa"/>
              <w:left w:w="100" w:type="dxa"/>
              <w:right w:w="100" w:type="dxa"/>
            </w:tcMar>
          </w:tcPr>
          <w:p>
            <w:r>
              <w:rPr>
                <w:color w:val="334155"/>
                <w:sz w:val="17"/>
              </w:rPr>
              <w:t>Organized disinformation campaign, acute harassment blitz</w:t>
            </w:r>
          </w:p>
        </w:tc>
        <w:tc>
          <w:tcPr>
            <w:tcW w:type="dxa" w:w="2592"/>
            <w:shd w:fill="FEF2F2"/>
            <w:tcMar>
              <w:top w:w="90" w:type="dxa"/>
              <w:bottom w:w="90" w:type="dxa"/>
              <w:left w:w="100" w:type="dxa"/>
              <w:right w:w="100" w:type="dxa"/>
            </w:tcMar>
          </w:tcPr>
          <w:p>
            <w:r>
              <w:rPr>
                <w:color w:val="334155"/>
                <w:sz w:val="17"/>
              </w:rPr>
              <w:t>Instant dispatch; lock accounts, notify law enforcement / cyber cell</w:t>
            </w:r>
          </w:p>
        </w:tc>
      </w:tr>
    </w:tbl>
    <w:p>
      <w:pPr>
        <w:spacing w:after="200"/>
      </w:pPr>
    </w:p>
    <w:p>
      <w:pPr>
        <w:pStyle w:val="Heading1"/>
        <w:spacing w:before="280" w:after="80"/>
      </w:pPr>
      <w:r>
        <w:rPr>
          <w:rFonts w:ascii="Segoe UI" w:hAnsi="Segoe UI"/>
          <w:b/>
          <w:color w:val="0F172A"/>
          <w:sz w:val="30"/>
        </w:rPr>
        <w:t>5. Comprehensive Walkthrough of Platform Modules</w:t>
      </w:r>
    </w:p>
    <w:p>
      <w:pPr>
        <w:spacing w:before="80" w:after="40"/>
      </w:pPr>
      <w:r>
        <w:rPr>
          <w:b/>
          <w:color w:val="0F172A"/>
          <w:sz w:val="22"/>
        </w:rPr>
        <w:t>Module 1: Executive Overview &amp; Command Station</w:t>
      </w:r>
    </w:p>
    <w:p>
      <w:pPr>
        <w:spacing w:line="276" w:lineRule="auto" w:after="120"/>
      </w:pPr>
      <w:r>
        <w:t>Provides C-suite and command officers with real-time situational awareness. Key visual telemetry includes: Current Global Threat Index (0-100), Active Coordinated Campaigns count, High-Risk Accounts Under Surveillance, 24-hour sentiment trend curves, and real-time live ingestion tickers showing cross-platform activity.</w:t>
      </w:r>
    </w:p>
    <w:p>
      <w:pPr>
        <w:spacing w:before="80" w:after="40"/>
      </w:pPr>
      <w:r>
        <w:rPr>
          <w:b/>
          <w:color w:val="0F172A"/>
          <w:sz w:val="22"/>
        </w:rPr>
        <w:t>Module 2: Multimodal Social Analytics</w:t>
      </w:r>
    </w:p>
    <w:p>
      <w:pPr>
        <w:spacing w:line="276" w:lineRule="auto" w:after="120"/>
      </w:pPr>
      <w:r>
        <w:t>Deep linguistic exploration dissecting public sentiment across Twitter/X, Telegram, Instagram, Facebook, Reddit, and YouTube. Computes fine-grained emotional distributions across five psychological states (Joy, Anger, Fear, Sadness, Neutral) paired with engagement efficiency scores (Likes + 2×Comments + 3×Shares / Followers).</w:t>
      </w:r>
    </w:p>
    <w:p>
      <w:pPr>
        <w:spacing w:before="80" w:after="40"/>
      </w:pPr>
      <w:r>
        <w:rPr>
          <w:b/>
          <w:color w:val="0F172A"/>
          <w:sz w:val="22"/>
        </w:rPr>
        <w:t>Module 3: Live AI Post Analyzer (Gemini 3.8 Flash)</w:t>
      </w:r>
    </w:p>
    <w:p>
      <w:pPr>
        <w:spacing w:line="276" w:lineRule="auto" w:after="120"/>
      </w:pPr>
      <w:r>
        <w:t>Allows investigators to test arbitrary text or analyze incoming posts in real time. Features an integrated server endpoint communicating with Gemini 3.8 Flash via structured JSON schemas, outputting sentiment score, confidence rating, toxicity index (0-100), cyberbullying probability, threat indicators, extracted topics, plain-language reasoning, and recommended moderator action (NO ACTION, MONITOR, FLAG FOR REVIEW, ESCALATE). Includes an automated offline fallback engine that guarantees continuous operation during network degradation.</w:t>
      </w:r>
    </w:p>
    <w:p>
      <w:pPr>
        <w:spacing w:before="80" w:after="40"/>
      </w:pPr>
      <w:r>
        <w:rPr>
          <w:b/>
          <w:color w:val="0F172A"/>
          <w:sz w:val="22"/>
        </w:rPr>
        <w:t>Module 4: Trends &amp; Narrative Radar</w:t>
      </w:r>
    </w:p>
    <w:p>
      <w:pPr>
        <w:spacing w:line="276" w:lineRule="auto" w:after="120"/>
      </w:pPr>
      <w:r>
        <w:t>Monitors hashtag velocity and emerging conversational narratives. Ranks topics by post volume, sentiment polarity, and momentum status ('Surging', 'Steady', 'Emerging'). Identifies peak posting hours (UTC) to pinpoint organized astroturfing schedules.</w:t>
      </w:r>
    </w:p>
    <w:p>
      <w:pPr>
        <w:spacing w:before="80" w:after="40"/>
      </w:pPr>
      <w:r>
        <w:rPr>
          <w:b/>
          <w:color w:val="0F172A"/>
          <w:sz w:val="22"/>
        </w:rPr>
        <w:t>Module 5: Audience Behavior &amp; Bot Swarm Detection</w:t>
      </w:r>
    </w:p>
    <w:p>
      <w:pPr>
        <w:spacing w:line="276" w:lineRule="auto" w:after="120"/>
      </w:pPr>
      <w:r>
        <w:t>Performs forensic auditing on suspect accounts. Evaluates account age distributions, following-to-follower ratios, repeated content rates, burst activity flags, and synthetic bot probability scores to separate organic users from programmed amplification swarms.</w:t>
      </w:r>
    </w:p>
    <w:p>
      <w:pPr>
        <w:spacing w:before="80" w:after="40"/>
      </w:pPr>
      <w:r>
        <w:rPr>
          <w:b/>
          <w:color w:val="0F172A"/>
          <w:sz w:val="22"/>
        </w:rPr>
        <w:t>Module 6: Campaign Intelligence &amp; Coordination Engine</w:t>
      </w:r>
    </w:p>
    <w:p>
      <w:pPr>
        <w:spacing w:line="276" w:lineRule="auto" w:after="120"/>
      </w:pPr>
      <w:r>
        <w:t>Dedicated hub for dissecting organized influence operations. Displays temporal cluster windows, shared hashtags, common URLs, repeated narrative phrases, and compares the active campaign with historical disinformation signatures using TF-IDF vector matching.</w:t>
      </w:r>
    </w:p>
    <w:p>
      <w:pPr>
        <w:spacing w:before="80" w:after="40"/>
      </w:pPr>
      <w:r>
        <w:rPr>
          <w:b/>
          <w:color w:val="0F172A"/>
          <w:sz w:val="22"/>
        </w:rPr>
        <w:t>Module 7: Interactive Network Graph Intelligence</w:t>
      </w:r>
    </w:p>
    <w:p>
      <w:pPr>
        <w:spacing w:line="276" w:lineRule="auto" w:after="120"/>
      </w:pPr>
      <w:r>
        <w:t>Built with ReactFlow (@xyflow/react), this interactive canvas visualizes relationships between suspect accounts, bot rings, target narratives, and amplification bridges. Analysts can interactively drag, zoom, inspect node metrics, and identify critical puppeteer nodes.</w:t>
      </w:r>
    </w:p>
    <w:p>
      <w:pPr>
        <w:spacing w:before="80" w:after="40"/>
      </w:pPr>
      <w:r>
        <w:rPr>
          <w:b/>
          <w:color w:val="0F172A"/>
          <w:sz w:val="22"/>
        </w:rPr>
        <w:t>Module 8: Cyber Safety &amp; Harassment Mitigation Hub</w:t>
      </w:r>
    </w:p>
    <w:p>
      <w:pPr>
        <w:spacing w:line="276" w:lineRule="auto" w:after="120"/>
      </w:pPr>
      <w:r>
        <w:t>Designed specifically for digital protection cells and victim defense. Groups targeted harassment posts, displays toxicity and cyberbullying confidence metrics, generates human-readable forensic explanations, and provides an export button to produce audit-ready evidence logs for law enforcement reporting.</w:t>
      </w:r>
    </w:p>
    <w:p>
      <w:pPr>
        <w:spacing w:before="80" w:after="40"/>
      </w:pPr>
      <w:r>
        <w:rPr>
          <w:b/>
          <w:color w:val="0F172A"/>
          <w:sz w:val="22"/>
        </w:rPr>
        <w:t>Module 9: Threat Center &amp; Incident Dispatch Console</w:t>
      </w:r>
    </w:p>
    <w:p>
      <w:pPr>
        <w:spacing w:line="276" w:lineRule="auto" w:after="120"/>
      </w:pPr>
      <w:r>
        <w:t>Centralized threat queue with filtering by CRITICAL, HIGH, MEDIUM, and LOW severity. Includes a Red-Team Threat Simulation Playground where operators can inject synthetic cyberbullying bursts or coordinated disinformation blitzes to test organizational response readiness.</w:t>
      </w:r>
    </w:p>
    <w:p>
      <w:pPr>
        <w:pStyle w:val="Heading1"/>
        <w:spacing w:before="280" w:after="80"/>
      </w:pPr>
      <w:r>
        <w:rPr>
          <w:rFonts w:ascii="Segoe UI" w:hAnsi="Segoe UI"/>
          <w:b/>
          <w:color w:val="0F172A"/>
          <w:sz w:val="30"/>
        </w:rPr>
        <w:t>6. Technical Architecture &amp; Technology Stack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2304"/>
            <w:shd w:fill="0F172A"/>
            <w:tcMar>
              <w:top w:w="100" w:type="dxa"/>
              <w:bottom w:w="100" w:type="dxa"/>
              <w:left w:w="100" w:type="dxa"/>
              <w:right w:w="100" w:type="dxa"/>
            </w:tcMar>
          </w:tcPr>
          <w:p>
            <w:r>
              <w:rPr>
                <w:b/>
                <w:color w:val="FFFFFF"/>
                <w:sz w:val="17"/>
              </w:rPr>
              <w:t>Layer</w:t>
            </w:r>
          </w:p>
        </w:tc>
        <w:tc>
          <w:tcPr>
            <w:tcW w:type="dxa" w:w="3168"/>
            <w:shd w:fill="0F172A"/>
            <w:tcMar>
              <w:top w:w="100" w:type="dxa"/>
              <w:bottom w:w="100" w:type="dxa"/>
              <w:left w:w="100" w:type="dxa"/>
              <w:right w:w="100" w:type="dxa"/>
            </w:tcMar>
          </w:tcPr>
          <w:p>
            <w:r>
              <w:rPr>
                <w:b/>
                <w:color w:val="FFFFFF"/>
                <w:sz w:val="17"/>
              </w:rPr>
              <w:t>Technology / Framework</w:t>
            </w:r>
          </w:p>
        </w:tc>
        <w:tc>
          <w:tcPr>
            <w:tcW w:type="dxa" w:w="3888"/>
            <w:shd w:fill="0F172A"/>
            <w:tcMar>
              <w:top w:w="100" w:type="dxa"/>
              <w:bottom w:w="100" w:type="dxa"/>
              <w:left w:w="100" w:type="dxa"/>
              <w:right w:w="100" w:type="dxa"/>
            </w:tcMar>
          </w:tcPr>
          <w:p>
            <w:r>
              <w:rPr>
                <w:b/>
                <w:color w:val="FFFFFF"/>
                <w:sz w:val="17"/>
              </w:rPr>
              <w:t>Role &amp; Engineering Highlights</w:t>
            </w:r>
          </w:p>
        </w:tc>
      </w:tr>
      <w:tr>
        <w:tc>
          <w:tcPr>
            <w:tcW w:type="dxa" w:w="2304"/>
            <w:shd w:fill="F8FAFC"/>
            <w:tcMar>
              <w:top w:w="90" w:type="dxa"/>
              <w:bottom w:w="90" w:type="dxa"/>
              <w:left w:w="100" w:type="dxa"/>
              <w:right w:w="100" w:type="dxa"/>
            </w:tcMar>
          </w:tcPr>
          <w:p>
            <w:r>
              <w:rPr>
                <w:b/>
                <w:color w:val="0F172A"/>
                <w:sz w:val="17"/>
              </w:rPr>
              <w:t>Frontend Application</w:t>
            </w:r>
          </w:p>
        </w:tc>
        <w:tc>
          <w:tcPr>
            <w:tcW w:type="dxa" w:w="3168"/>
            <w:shd w:fill="F8FAFC"/>
            <w:tcMar>
              <w:top w:w="90" w:type="dxa"/>
              <w:bottom w:w="90" w:type="dxa"/>
              <w:left w:w="100" w:type="dxa"/>
              <w:right w:w="100" w:type="dxa"/>
            </w:tcMar>
          </w:tcPr>
          <w:p>
            <w:r>
              <w:rPr>
                <w:color w:val="334155"/>
                <w:sz w:val="17"/>
              </w:rPr>
              <w:t>React 19, TypeScript, Vite 6</w:t>
            </w:r>
          </w:p>
        </w:tc>
        <w:tc>
          <w:tcPr>
            <w:tcW w:type="dxa" w:w="3888"/>
            <w:shd w:fill="F8FAFC"/>
            <w:tcMar>
              <w:top w:w="90" w:type="dxa"/>
              <w:bottom w:w="90" w:type="dxa"/>
              <w:left w:w="100" w:type="dxa"/>
              <w:right w:w="100" w:type="dxa"/>
            </w:tcMar>
          </w:tcPr>
          <w:p>
            <w:r>
              <w:rPr>
                <w:color w:val="334155"/>
                <w:sz w:val="17"/>
              </w:rPr>
              <w:t>Ultra-responsive Single Page Application, typed interfaces, sub-50ms render latency</w:t>
            </w:r>
          </w:p>
        </w:tc>
      </w:tr>
      <w:tr>
        <w:tc>
          <w:tcPr>
            <w:tcW w:type="dxa" w:w="2304"/>
            <w:shd w:fill="FFFFFF"/>
            <w:tcMar>
              <w:top w:w="90" w:type="dxa"/>
              <w:bottom w:w="90" w:type="dxa"/>
              <w:left w:w="100" w:type="dxa"/>
              <w:right w:w="100" w:type="dxa"/>
            </w:tcMar>
          </w:tcPr>
          <w:p>
            <w:r>
              <w:rPr>
                <w:b/>
                <w:color w:val="0F172A"/>
                <w:sz w:val="17"/>
              </w:rPr>
              <w:t>Design &amp; Aesthetics</w:t>
            </w:r>
          </w:p>
        </w:tc>
        <w:tc>
          <w:tcPr>
            <w:tcW w:type="dxa" w:w="3168"/>
            <w:shd w:fill="FFFFFF"/>
            <w:tcMar>
              <w:top w:w="90" w:type="dxa"/>
              <w:bottom w:w="90" w:type="dxa"/>
              <w:left w:w="100" w:type="dxa"/>
              <w:right w:w="100" w:type="dxa"/>
            </w:tcMar>
          </w:tcPr>
          <w:p>
            <w:r>
              <w:rPr>
                <w:color w:val="334155"/>
                <w:sz w:val="17"/>
              </w:rPr>
              <w:t>Tailwind CSS v4, Motion (Framer)</w:t>
            </w:r>
          </w:p>
        </w:tc>
        <w:tc>
          <w:tcPr>
            <w:tcW w:type="dxa" w:w="3888"/>
            <w:shd w:fill="FFFFFF"/>
            <w:tcMar>
              <w:top w:w="90" w:type="dxa"/>
              <w:bottom w:w="90" w:type="dxa"/>
              <w:left w:w="100" w:type="dxa"/>
              <w:right w:w="100" w:type="dxa"/>
            </w:tcMar>
          </w:tcPr>
          <w:p>
            <w:r>
              <w:rPr>
                <w:color w:val="334155"/>
                <w:sz w:val="17"/>
              </w:rPr>
              <w:t>Custom dark cybersecurity design token system, smooth transitions, glassmorphic HUD</w:t>
            </w:r>
          </w:p>
        </w:tc>
      </w:tr>
      <w:tr>
        <w:tc>
          <w:tcPr>
            <w:tcW w:type="dxa" w:w="2304"/>
            <w:shd w:fill="F8FAFC"/>
            <w:tcMar>
              <w:top w:w="90" w:type="dxa"/>
              <w:bottom w:w="90" w:type="dxa"/>
              <w:left w:w="100" w:type="dxa"/>
              <w:right w:w="100" w:type="dxa"/>
            </w:tcMar>
          </w:tcPr>
          <w:p>
            <w:r>
              <w:rPr>
                <w:b/>
                <w:color w:val="0F172A"/>
                <w:sz w:val="17"/>
              </w:rPr>
              <w:t>Data Visualization</w:t>
            </w:r>
          </w:p>
        </w:tc>
        <w:tc>
          <w:tcPr>
            <w:tcW w:type="dxa" w:w="3168"/>
            <w:shd w:fill="F8FAFC"/>
            <w:tcMar>
              <w:top w:w="90" w:type="dxa"/>
              <w:bottom w:w="90" w:type="dxa"/>
              <w:left w:w="100" w:type="dxa"/>
              <w:right w:w="100" w:type="dxa"/>
            </w:tcMar>
          </w:tcPr>
          <w:p>
            <w:r>
              <w:rPr>
                <w:color w:val="334155"/>
                <w:sz w:val="17"/>
              </w:rPr>
              <w:t>Recharts &amp; @xyflow/react (ReactFlow)</w:t>
            </w:r>
          </w:p>
        </w:tc>
        <w:tc>
          <w:tcPr>
            <w:tcW w:type="dxa" w:w="3888"/>
            <w:shd w:fill="F8FAFC"/>
            <w:tcMar>
              <w:top w:w="90" w:type="dxa"/>
              <w:bottom w:w="90" w:type="dxa"/>
              <w:left w:w="100" w:type="dxa"/>
              <w:right w:w="100" w:type="dxa"/>
            </w:tcMar>
          </w:tcPr>
          <w:p>
            <w:r>
              <w:rPr>
                <w:color w:val="334155"/>
                <w:sz w:val="17"/>
              </w:rPr>
              <w:t>Dynamic area/bar/pie charts and interactive graph node topology with edge linkages</w:t>
            </w:r>
          </w:p>
        </w:tc>
      </w:tr>
      <w:tr>
        <w:tc>
          <w:tcPr>
            <w:tcW w:type="dxa" w:w="2304"/>
            <w:shd w:fill="FFFFFF"/>
            <w:tcMar>
              <w:top w:w="90" w:type="dxa"/>
              <w:bottom w:w="90" w:type="dxa"/>
              <w:left w:w="100" w:type="dxa"/>
              <w:right w:w="100" w:type="dxa"/>
            </w:tcMar>
          </w:tcPr>
          <w:p>
            <w:r>
              <w:rPr>
                <w:b/>
                <w:color w:val="0F172A"/>
                <w:sz w:val="17"/>
              </w:rPr>
              <w:t>Backend Services</w:t>
            </w:r>
          </w:p>
        </w:tc>
        <w:tc>
          <w:tcPr>
            <w:tcW w:type="dxa" w:w="3168"/>
            <w:shd w:fill="FFFFFF"/>
            <w:tcMar>
              <w:top w:w="90" w:type="dxa"/>
              <w:bottom w:w="90" w:type="dxa"/>
              <w:left w:w="100" w:type="dxa"/>
              <w:right w:w="100" w:type="dxa"/>
            </w:tcMar>
          </w:tcPr>
          <w:p>
            <w:r>
              <w:rPr>
                <w:color w:val="334155"/>
                <w:sz w:val="17"/>
              </w:rPr>
              <w:t>Node.js (v24), Express 4.21, TSX</w:t>
            </w:r>
          </w:p>
        </w:tc>
        <w:tc>
          <w:tcPr>
            <w:tcW w:type="dxa" w:w="3888"/>
            <w:shd w:fill="FFFFFF"/>
            <w:tcMar>
              <w:top w:w="90" w:type="dxa"/>
              <w:bottom w:w="90" w:type="dxa"/>
              <w:left w:w="100" w:type="dxa"/>
              <w:right w:w="100" w:type="dxa"/>
            </w:tcMar>
          </w:tcPr>
          <w:p>
            <w:r>
              <w:rPr>
                <w:color w:val="334155"/>
                <w:sz w:val="17"/>
              </w:rPr>
              <w:t>Lightweight REST API handling live telemetry simulation, health checks, and AI proxying</w:t>
            </w:r>
          </w:p>
        </w:tc>
      </w:tr>
      <w:tr>
        <w:tc>
          <w:tcPr>
            <w:tcW w:type="dxa" w:w="2304"/>
            <w:shd w:fill="F8FAFC"/>
            <w:tcMar>
              <w:top w:w="90" w:type="dxa"/>
              <w:bottom w:w="90" w:type="dxa"/>
              <w:left w:w="100" w:type="dxa"/>
              <w:right w:w="100" w:type="dxa"/>
            </w:tcMar>
          </w:tcPr>
          <w:p>
            <w:r>
              <w:rPr>
                <w:b/>
                <w:color w:val="0F172A"/>
                <w:sz w:val="17"/>
              </w:rPr>
              <w:t>Core AI Engine</w:t>
            </w:r>
          </w:p>
        </w:tc>
        <w:tc>
          <w:tcPr>
            <w:tcW w:type="dxa" w:w="3168"/>
            <w:shd w:fill="F8FAFC"/>
            <w:tcMar>
              <w:top w:w="90" w:type="dxa"/>
              <w:bottom w:w="90" w:type="dxa"/>
              <w:left w:w="100" w:type="dxa"/>
              <w:right w:w="100" w:type="dxa"/>
            </w:tcMar>
          </w:tcPr>
          <w:p>
            <w:r>
              <w:rPr>
                <w:color w:val="334155"/>
                <w:sz w:val="17"/>
              </w:rPr>
              <w:t>Google Gemini 3.8 Flash (@google/genai)</w:t>
            </w:r>
          </w:p>
        </w:tc>
        <w:tc>
          <w:tcPr>
            <w:tcW w:type="dxa" w:w="3888"/>
            <w:shd w:fill="F8FAFC"/>
            <w:tcMar>
              <w:top w:w="90" w:type="dxa"/>
              <w:bottom w:w="90" w:type="dxa"/>
              <w:left w:w="100" w:type="dxa"/>
              <w:right w:w="100" w:type="dxa"/>
            </w:tcMar>
          </w:tcPr>
          <w:p>
            <w:r>
              <w:rPr>
                <w:color w:val="334155"/>
                <w:sz w:val="17"/>
              </w:rPr>
              <w:t>Structured JSON schema output, deep threat reasoning, sub-second generation latency</w:t>
            </w:r>
          </w:p>
        </w:tc>
      </w:tr>
      <w:tr>
        <w:tc>
          <w:tcPr>
            <w:tcW w:type="dxa" w:w="2304"/>
            <w:shd w:fill="FFFFFF"/>
            <w:tcMar>
              <w:top w:w="90" w:type="dxa"/>
              <w:bottom w:w="90" w:type="dxa"/>
              <w:left w:w="100" w:type="dxa"/>
              <w:right w:w="100" w:type="dxa"/>
            </w:tcMar>
          </w:tcPr>
          <w:p>
            <w:r>
              <w:rPr>
                <w:b/>
                <w:color w:val="0F172A"/>
                <w:sz w:val="17"/>
              </w:rPr>
              <w:t>Fallback Engine</w:t>
            </w:r>
          </w:p>
        </w:tc>
        <w:tc>
          <w:tcPr>
            <w:tcW w:type="dxa" w:w="3168"/>
            <w:shd w:fill="FFFFFF"/>
            <w:tcMar>
              <w:top w:w="90" w:type="dxa"/>
              <w:bottom w:w="90" w:type="dxa"/>
              <w:left w:w="100" w:type="dxa"/>
              <w:right w:w="100" w:type="dxa"/>
            </w:tcMar>
          </w:tcPr>
          <w:p>
            <w:r>
              <w:rPr>
                <w:color w:val="334155"/>
                <w:sz w:val="17"/>
              </w:rPr>
              <w:t>Deterministic Local NLP (TypeScript)</w:t>
            </w:r>
          </w:p>
        </w:tc>
        <w:tc>
          <w:tcPr>
            <w:tcW w:type="dxa" w:w="3888"/>
            <w:shd w:fill="FFFFFF"/>
            <w:tcMar>
              <w:top w:w="90" w:type="dxa"/>
              <w:bottom w:w="90" w:type="dxa"/>
              <w:left w:w="100" w:type="dxa"/>
              <w:right w:w="100" w:type="dxa"/>
            </w:tcMar>
          </w:tcPr>
          <w:p>
            <w:r>
              <w:rPr>
                <w:color w:val="334155"/>
                <w:sz w:val="17"/>
              </w:rPr>
              <w:t>Zero-dependency rule &amp; lexical analyzer guaranteeing 100% uptime with zero external keys</w:t>
            </w:r>
          </w:p>
        </w:tc>
      </w:tr>
    </w:tbl>
    <w:p>
      <w:pPr>
        <w:spacing w:after="200"/>
      </w:pPr>
    </w:p>
    <w:p>
      <w:pPr>
        <w:pStyle w:val="Heading1"/>
        <w:spacing w:before="280" w:after="80"/>
      </w:pPr>
      <w:r>
        <w:rPr>
          <w:rFonts w:ascii="Segoe UI" w:hAnsi="Segoe UI"/>
          <w:b/>
          <w:color w:val="0F172A"/>
          <w:sz w:val="30"/>
        </w:rPr>
        <w:t>7. Real-World Impact &amp; Target Stakeholders</w:t>
      </w:r>
    </w:p>
    <w:p>
      <w:pPr>
        <w:pStyle w:val="ListBullet"/>
        <w:spacing w:after="60" w:line="276" w:lineRule="auto"/>
      </w:pPr>
      <w:r>
        <w:rPr>
          <w:b/>
          <w:color w:val="0F172A"/>
        </w:rPr>
        <w:t xml:space="preserve">Cyber Crime Cells &amp; Law Enforcement: </w:t>
      </w:r>
      <w:r>
        <w:rPr>
          <w:color w:val="475569"/>
        </w:rPr>
        <w:t>Automated forensic chain of custody, timestamped message hashes, and tamper-resistant evidence exports that accelerate formal FIR filing and legal subpoenas.</w:t>
      </w:r>
    </w:p>
    <w:p>
      <w:pPr>
        <w:pStyle w:val="ListBullet"/>
        <w:spacing w:after="60" w:line="276" w:lineRule="auto"/>
      </w:pPr>
      <w:r>
        <w:rPr>
          <w:b/>
          <w:color w:val="0F172A"/>
        </w:rPr>
        <w:t xml:space="preserve">Platform Moderation Teams: </w:t>
      </w:r>
      <w:r>
        <w:rPr>
          <w:color w:val="475569"/>
        </w:rPr>
        <w:t>Drastic triage acceleration; algorithmic sorting separates normal complaints from high-velocity coordinated attack vectors, reducing moderator fatigue by over 70%.</w:t>
      </w:r>
    </w:p>
    <w:p>
      <w:pPr>
        <w:pStyle w:val="ListBullet"/>
        <w:spacing w:after="60" w:line="276" w:lineRule="auto"/>
      </w:pPr>
      <w:r>
        <w:rPr>
          <w:b/>
          <w:color w:val="0F172A"/>
        </w:rPr>
        <w:t xml:space="preserve">National Narrative Security: </w:t>
      </w:r>
      <w:r>
        <w:rPr>
          <w:color w:val="475569"/>
        </w:rPr>
        <w:t>Early interception of state-sponsored disinformation blitzes and astroturfed communal unrest before false narratives permeate mainstream media channels.</w:t>
      </w:r>
    </w:p>
    <w:p>
      <w:pPr>
        <w:pStyle w:val="ListBullet"/>
        <w:spacing w:after="60" w:line="276" w:lineRule="auto"/>
      </w:pPr>
      <w:r>
        <w:rPr>
          <w:b/>
          <w:color w:val="0F172A"/>
        </w:rPr>
        <w:t xml:space="preserve">Vulnerable Online Demographics &amp; Youth: </w:t>
      </w:r>
      <w:r>
        <w:rPr>
          <w:color w:val="475569"/>
        </w:rPr>
        <w:t>Active monitoring of predatory cyberbullying swarms, doxxing threats, and organized digital extortion with direct integration into helpline escalation pipelines.</w:t>
      </w:r>
    </w:p>
    <w:p>
      <w:pPr>
        <w:pStyle w:val="Heading1"/>
        <w:spacing w:before="280" w:after="80"/>
      </w:pPr>
      <w:r>
        <w:rPr>
          <w:rFonts w:ascii="Segoe UI" w:hAnsi="Segoe UI"/>
          <w:b/>
          <w:color w:val="0F172A"/>
          <w:sz w:val="30"/>
        </w:rPr>
        <w:t>8. Future Roadmap &amp; Strategic Vision</w:t>
      </w:r>
    </w:p>
    <w:p>
      <w:pPr>
        <w:pStyle w:val="ListBullet"/>
        <w:spacing w:after="60" w:line="276" w:lineRule="auto"/>
      </w:pPr>
      <w:r>
        <w:rPr>
          <w:b/>
          <w:color w:val="0F172A"/>
        </w:rPr>
        <w:t xml:space="preserve">Phase 1 (Current - Hackathon MVP): </w:t>
      </w:r>
      <w:r>
        <w:rPr>
          <w:color w:val="475569"/>
        </w:rPr>
        <w:t>Full 5-in-1 intelligence suite, Gemini 3.8 Flash AI reasoning, deterministic offline fallback, synthetic live stream simulation, ReactFlow network graph, and 5-factor risk scoring.</w:t>
      </w:r>
    </w:p>
    <w:p>
      <w:pPr>
        <w:pStyle w:val="ListBullet"/>
        <w:spacing w:after="60" w:line="276" w:lineRule="auto"/>
      </w:pPr>
      <w:r>
        <w:rPr>
          <w:b/>
          <w:color w:val="0F172A"/>
        </w:rPr>
        <w:t xml:space="preserve">Phase 2 (Indic Dialect Processing): </w:t>
      </w:r>
      <w:r>
        <w:rPr>
          <w:color w:val="475569"/>
        </w:rPr>
        <w:t>Integration with Government of India's Bhashini API to detect hate speech, slang, and coordinate disinformation across 22 scheduled Indian languages (Hindi, Bengali, Tamil, Telugu, Marathi, etc.).</w:t>
      </w:r>
    </w:p>
    <w:p>
      <w:pPr>
        <w:pStyle w:val="ListBullet"/>
        <w:spacing w:after="60" w:line="276" w:lineRule="auto"/>
      </w:pPr>
      <w:r>
        <w:rPr>
          <w:b/>
          <w:color w:val="0F172A"/>
        </w:rPr>
        <w:t xml:space="preserve">Phase 3 (Automated Takedown API Webhooks): </w:t>
      </w:r>
      <w:r>
        <w:rPr>
          <w:color w:val="475569"/>
        </w:rPr>
        <w:t>Standardized federated API webhooks dispatching structured takedown requests directly to social media platform compliance desks under IT Act 2000 Section 79/69A.</w:t>
      </w:r>
    </w:p>
    <w:p>
      <w:pPr>
        <w:pStyle w:val="ListBullet"/>
        <w:spacing w:after="60" w:line="276" w:lineRule="auto"/>
      </w:pPr>
      <w:r>
        <w:rPr>
          <w:b/>
          <w:color w:val="0F172A"/>
        </w:rPr>
        <w:t xml:space="preserve">Phase 4 (Dark Web &amp; Telegram Closed Ring Radar): </w:t>
      </w:r>
      <w:r>
        <w:rPr>
          <w:color w:val="475569"/>
        </w:rPr>
        <w:t>Expanding ingestion crawlers into encrypted forums and dark web channels to intercept planned astroturfing operations before social deployment.</w:t>
      </w:r>
    </w:p>
    <w:p>
      <w:pPr>
        <w:spacing w:after="160"/>
      </w:pPr>
    </w:p>
    <w:tbl>
      <w:tblPr>
        <w:tblW w:type="auto" w:w="0"/>
        <w:jc w:val="center"/>
        <w:tblLayout w:type="fixed"/>
        <w:tblLook w:firstColumn="1" w:firstRow="1" w:lastColumn="0" w:lastRow="0" w:noHBand="0" w:noVBand="1" w:val="04A0"/>
      </w:tblPr>
      <w:tblGrid>
        <w:gridCol w:w="9936"/>
      </w:tblGrid>
      <w:tr>
        <w:tc>
          <w:tcPr>
            <w:tcW w:type="dxa" w:w="9360"/>
            <w:shd w:fill="ECFDF5"/>
            <w:tcMar>
              <w:top w:w="160" w:type="dxa"/>
              <w:bottom w:w="160" w:type="dxa"/>
              <w:left w:w="220" w:type="dxa"/>
              <w:right w:w="200" w:type="dxa"/>
            </w:tcMar>
            <w:tcBorders>
              <w:left w:val="single" w:sz="24" w:space="0" w:color="059669"/>
              <w:top w:val="none"/>
              <w:right w:val="none"/>
              <w:bottom w:val="none"/>
            </w:tcBorders>
          </w:tcPr>
          <w:p>
            <w:pPr>
              <w:spacing w:before="0" w:after="60"/>
            </w:pPr>
            <w:r>
              <w:rPr>
                <w:rFonts w:ascii="Segoe UI" w:hAnsi="Segoe UI"/>
                <w:b/>
                <w:color w:val="0F172A"/>
                <w:sz w:val="20"/>
              </w:rPr>
              <w:t xml:space="preserve">[CONCLUSION &amp; READINESS] </w:t>
            </w:r>
            <w:r>
              <w:rPr>
                <w:rFonts w:ascii="Segoe UI" w:hAnsi="Segoe UI"/>
                <w:color w:val="334155"/>
                <w:sz w:val="19"/>
              </w:rPr>
              <w:t>SENTINEL-AI stands ready for deployment as an indispensable cognitive shield for cyber cells, trust &amp; safety custodians, and national narrative integrity across India and global digital communities.</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 xml:space="preserve">SENTINEL-AI — Autonomous Social Threat &amp; Coordinated Campaign Intelligence Platform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SENTINEL-AI · Executive Project Summary | Team Syntrix (SIH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