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54360"/>
          <w:sz w:val="28"/>
        </w:rPr>
        <w:t>TY B.Tech. – ARTIFICIAL INTELLIGENCE AND MACHINE LEARNING</w:t>
      </w:r>
    </w:p>
    <w:p>
      <w:pPr>
        <w:spacing w:after="240"/>
        <w:jc w:val="center"/>
      </w:pPr>
      <w:r>
        <w:rPr>
          <w:rFonts w:ascii="Times New Roman" w:hAnsi="Times New Roman"/>
          <w:b/>
          <w:color w:val="283747"/>
          <w:sz w:val="26"/>
        </w:rPr>
        <w:t>PRACTICAL ASSIGNMENT 6: CLUSTERING ALGORITHMS &amp; QUALITY EVALUATION</w:t>
      </w:r>
    </w:p>
    <w:p>
      <w:pPr>
        <w:keepNext/>
        <w:spacing w:before="280" w:after="80"/>
      </w:pPr>
      <w:r>
        <w:rPr>
          <w:rFonts w:ascii="Times New Roman" w:hAnsi="Times New Roman"/>
          <w:b/>
          <w:color w:val="154360"/>
          <w:sz w:val="26"/>
        </w:rPr>
        <w:t>1. Student Details</w:t>
      </w:r>
    </w:p>
    <w:tbl>
      <w:tblPr>
        <w:tblStyle w:val="TableGrid"/>
        <w:tblW w:type="auto" w:w="0"/>
        <w:jc w:val="center"/>
        <w:tblLayout w:type="fixed"/>
        <w:tblLook w:firstColumn="1" w:firstRow="1" w:lastColumn="0" w:lastRow="0" w:noHBand="0" w:noVBand="1" w:val="04A0"/>
      </w:tblPr>
      <w:tblGrid>
        <w:gridCol w:w="5112"/>
        <w:gridCol w:w="5112"/>
      </w:tblGrid>
      <w:tr>
        <w:trPr>
          <w:cantSplit/>
          <w:tblHeader/>
        </w:trPr>
        <w:tc>
          <w:tcPr>
            <w:tcW w:type="dxa" w:w="3600"/>
            <w:vAlign w:val="center"/>
            <w:tcMar>
              <w:top w:w="100" w:type="dxa"/>
              <w:bottom w:w="100" w:type="dxa"/>
              <w:left w:w="140" w:type="dxa"/>
              <w:right w:w="140" w:type="dxa"/>
            </w:tcMar>
          </w:tcPr>
          <w:p>
            <w:r>
              <w:rPr>
                <w:b/>
              </w:rPr>
              <w:t>Student Name</w:t>
            </w:r>
          </w:p>
        </w:tc>
        <w:tc>
          <w:tcPr>
            <w:tcW w:type="dxa" w:w="6192"/>
            <w:vAlign w:val="center"/>
            <w:tcMar>
              <w:top w:w="100" w:type="dxa"/>
              <w:bottom w:w="100" w:type="dxa"/>
              <w:left w:w="140" w:type="dxa"/>
              <w:right w:w="140" w:type="dxa"/>
            </w:tcMar>
          </w:tcPr>
          <w:p>
            <w:r>
              <w:t>Pankaj Shinde</w:t>
            </w:r>
          </w:p>
        </w:tc>
      </w:tr>
      <w:tr>
        <w:trPr>
          <w:cantSplit/>
        </w:trPr>
        <w:tc>
          <w:tcPr>
            <w:tcW w:type="dxa" w:w="3600"/>
            <w:vAlign w:val="center"/>
            <w:tcMar>
              <w:top w:w="100" w:type="dxa"/>
              <w:bottom w:w="100" w:type="dxa"/>
              <w:left w:w="140" w:type="dxa"/>
              <w:right w:w="140" w:type="dxa"/>
            </w:tcMar>
          </w:tcPr>
          <w:p>
            <w:r>
              <w:rPr>
                <w:b/>
              </w:rPr>
              <w:t>PRN</w:t>
            </w:r>
          </w:p>
        </w:tc>
        <w:tc>
          <w:tcPr>
            <w:tcW w:type="dxa" w:w="6192"/>
            <w:vAlign w:val="center"/>
            <w:tcMar>
              <w:top w:w="100" w:type="dxa"/>
              <w:bottom w:w="100" w:type="dxa"/>
              <w:left w:w="140" w:type="dxa"/>
              <w:right w:w="140" w:type="dxa"/>
            </w:tcMar>
          </w:tcPr>
          <w:p>
            <w:r>
              <w:t>202401100005</w:t>
            </w:r>
          </w:p>
        </w:tc>
      </w:tr>
      <w:tr>
        <w:trPr>
          <w:cantSplit/>
        </w:trPr>
        <w:tc>
          <w:tcPr>
            <w:tcW w:type="dxa" w:w="3600"/>
            <w:vAlign w:val="center"/>
            <w:tcMar>
              <w:top w:w="100" w:type="dxa"/>
              <w:bottom w:w="100" w:type="dxa"/>
              <w:left w:w="140" w:type="dxa"/>
              <w:right w:w="140" w:type="dxa"/>
            </w:tcMar>
          </w:tcPr>
          <w:p>
            <w:r>
              <w:rPr>
                <w:b/>
              </w:rPr>
              <w:t>Branch</w:t>
            </w:r>
          </w:p>
        </w:tc>
        <w:tc>
          <w:tcPr>
            <w:tcW w:type="dxa" w:w="6192"/>
            <w:vAlign w:val="center"/>
            <w:tcMar>
              <w:top w:w="100" w:type="dxa"/>
              <w:bottom w:w="100" w:type="dxa"/>
              <w:left w:w="140" w:type="dxa"/>
              <w:right w:w="140" w:type="dxa"/>
            </w:tcMar>
          </w:tcPr>
          <w:p>
            <w:r>
              <w:t>Software Engineering</w:t>
            </w:r>
          </w:p>
        </w:tc>
      </w:tr>
      <w:tr>
        <w:trPr>
          <w:cantSplit/>
        </w:trPr>
        <w:tc>
          <w:tcPr>
            <w:tcW w:type="dxa" w:w="3600"/>
            <w:vAlign w:val="center"/>
            <w:tcMar>
              <w:top w:w="100" w:type="dxa"/>
              <w:bottom w:w="100" w:type="dxa"/>
              <w:left w:w="140" w:type="dxa"/>
              <w:right w:w="140" w:type="dxa"/>
            </w:tcMar>
          </w:tcPr>
          <w:p>
            <w:r>
              <w:rPr>
                <w:b/>
              </w:rPr>
              <w:t>Division</w:t>
            </w:r>
          </w:p>
        </w:tc>
        <w:tc>
          <w:tcPr>
            <w:tcW w:type="dxa" w:w="6192"/>
            <w:vAlign w:val="center"/>
            <w:tcMar>
              <w:top w:w="100" w:type="dxa"/>
              <w:bottom w:w="100" w:type="dxa"/>
              <w:left w:w="140" w:type="dxa"/>
              <w:right w:w="140" w:type="dxa"/>
            </w:tcMar>
          </w:tcPr>
          <w:p>
            <w:r>
              <w:t>A</w:t>
            </w:r>
          </w:p>
        </w:tc>
      </w:tr>
      <w:tr>
        <w:trPr>
          <w:cantSplit/>
        </w:trPr>
        <w:tc>
          <w:tcPr>
            <w:tcW w:type="dxa" w:w="3600"/>
            <w:vAlign w:val="center"/>
            <w:tcMar>
              <w:top w:w="100" w:type="dxa"/>
              <w:bottom w:w="100" w:type="dxa"/>
              <w:left w:w="140" w:type="dxa"/>
              <w:right w:w="140" w:type="dxa"/>
            </w:tcMar>
          </w:tcPr>
          <w:p>
            <w:r>
              <w:rPr>
                <w:b/>
              </w:rPr>
              <w:t>Batch</w:t>
            </w:r>
          </w:p>
        </w:tc>
        <w:tc>
          <w:tcPr>
            <w:tcW w:type="dxa" w:w="6192"/>
            <w:vAlign w:val="center"/>
            <w:tcMar>
              <w:top w:w="100" w:type="dxa"/>
              <w:bottom w:w="100" w:type="dxa"/>
              <w:left w:w="140" w:type="dxa"/>
              <w:right w:w="140" w:type="dxa"/>
            </w:tcMar>
          </w:tcPr>
          <w:p>
            <w:r>
              <w:t>A1</w:t>
            </w:r>
          </w:p>
        </w:tc>
      </w:tr>
      <w:tr>
        <w:trPr>
          <w:cantSplit/>
        </w:trPr>
        <w:tc>
          <w:tcPr>
            <w:tcW w:type="dxa" w:w="3600"/>
            <w:vAlign w:val="center"/>
            <w:tcMar>
              <w:top w:w="100" w:type="dxa"/>
              <w:bottom w:w="100" w:type="dxa"/>
              <w:left w:w="140" w:type="dxa"/>
              <w:right w:w="140" w:type="dxa"/>
            </w:tcMar>
          </w:tcPr>
          <w:p>
            <w:r>
              <w:rPr>
                <w:b/>
              </w:rPr>
              <w:t>Roll No.</w:t>
            </w:r>
          </w:p>
        </w:tc>
        <w:tc>
          <w:tcPr>
            <w:tcW w:type="dxa" w:w="6192"/>
            <w:vAlign w:val="center"/>
            <w:tcMar>
              <w:top w:w="100" w:type="dxa"/>
              <w:bottom w:w="100" w:type="dxa"/>
              <w:left w:w="140" w:type="dxa"/>
              <w:right w:w="140" w:type="dxa"/>
            </w:tcMar>
          </w:tcPr>
          <w:p>
            <w:r>
              <w:t>07</w:t>
            </w:r>
          </w:p>
        </w:tc>
      </w:tr>
      <w:tr>
        <w:trPr>
          <w:cantSplit/>
        </w:trPr>
        <w:tc>
          <w:tcPr>
            <w:tcW w:type="dxa" w:w="3600"/>
            <w:vAlign w:val="center"/>
            <w:tcMar>
              <w:top w:w="100" w:type="dxa"/>
              <w:bottom w:w="100" w:type="dxa"/>
              <w:left w:w="140" w:type="dxa"/>
              <w:right w:w="140" w:type="dxa"/>
            </w:tcMar>
          </w:tcPr>
          <w:p>
            <w:r>
              <w:rPr>
                <w:b/>
              </w:rPr>
              <w:t>Date of Submission</w:t>
            </w:r>
          </w:p>
        </w:tc>
        <w:tc>
          <w:tcPr>
            <w:tcW w:type="dxa" w:w="6192"/>
            <w:vAlign w:val="center"/>
            <w:tcMar>
              <w:top w:w="100" w:type="dxa"/>
              <w:bottom w:w="100" w:type="dxa"/>
              <w:left w:w="140" w:type="dxa"/>
              <w:right w:w="140" w:type="dxa"/>
            </w:tcMar>
          </w:tcPr>
          <w:p>
            <w:r>
              <w:t>28-10-2026</w:t>
            </w:r>
          </w:p>
        </w:tc>
      </w:tr>
    </w:tbl>
    <w:p>
      <w:pPr>
        <w:keepNext/>
        <w:spacing w:before="280" w:after="80"/>
      </w:pPr>
      <w:r>
        <w:rPr>
          <w:rFonts w:ascii="Times New Roman" w:hAnsi="Times New Roman"/>
          <w:b/>
          <w:color w:val="154360"/>
          <w:sz w:val="26"/>
        </w:rPr>
        <w:t>2. Practical Details</w:t>
      </w:r>
    </w:p>
    <w:tbl>
      <w:tblPr>
        <w:tblStyle w:val="TableGrid"/>
        <w:tblW w:type="auto" w:w="0"/>
        <w:jc w:val="center"/>
        <w:tblLayout w:type="fixed"/>
        <w:tblLook w:firstColumn="1" w:firstRow="1" w:lastColumn="0" w:lastRow="0" w:noHBand="0" w:noVBand="1" w:val="04A0"/>
      </w:tblPr>
      <w:tblGrid>
        <w:gridCol w:w="5112"/>
        <w:gridCol w:w="5112"/>
      </w:tblGrid>
      <w:tr>
        <w:trPr>
          <w:cantSplit/>
          <w:tblHeader/>
        </w:trPr>
        <w:tc>
          <w:tcPr>
            <w:tcW w:type="dxa" w:w="3600"/>
            <w:vAlign w:val="center"/>
            <w:tcMar>
              <w:top w:w="100" w:type="dxa"/>
              <w:bottom w:w="100" w:type="dxa"/>
              <w:left w:w="140" w:type="dxa"/>
              <w:right w:w="140" w:type="dxa"/>
            </w:tcMar>
          </w:tcPr>
          <w:p>
            <w:r>
              <w:rPr>
                <w:b/>
              </w:rPr>
              <w:t>Practical No.</w:t>
            </w:r>
          </w:p>
        </w:tc>
        <w:tc>
          <w:tcPr>
            <w:tcW w:type="dxa" w:w="6192"/>
            <w:vAlign w:val="center"/>
            <w:tcMar>
              <w:top w:w="100" w:type="dxa"/>
              <w:bottom w:w="100" w:type="dxa"/>
              <w:left w:w="140" w:type="dxa"/>
              <w:right w:w="140" w:type="dxa"/>
            </w:tcMar>
          </w:tcPr>
          <w:p>
            <w:r>
              <w:t>6</w:t>
            </w:r>
          </w:p>
        </w:tc>
      </w:tr>
      <w:tr>
        <w:trPr>
          <w:cantSplit/>
        </w:trPr>
        <w:tc>
          <w:tcPr>
            <w:tcW w:type="dxa" w:w="3600"/>
            <w:vAlign w:val="center"/>
            <w:tcMar>
              <w:top w:w="100" w:type="dxa"/>
              <w:bottom w:w="100" w:type="dxa"/>
              <w:left w:w="140" w:type="dxa"/>
              <w:right w:w="140" w:type="dxa"/>
            </w:tcMar>
          </w:tcPr>
          <w:p>
            <w:r>
              <w:rPr>
                <w:b/>
              </w:rPr>
              <w:t>Practical Title</w:t>
            </w:r>
          </w:p>
        </w:tc>
        <w:tc>
          <w:tcPr>
            <w:tcW w:type="dxa" w:w="6192"/>
            <w:vAlign w:val="center"/>
            <w:tcMar>
              <w:top w:w="100" w:type="dxa"/>
              <w:bottom w:w="100" w:type="dxa"/>
              <w:left w:w="140" w:type="dxa"/>
              <w:right w:w="140" w:type="dxa"/>
            </w:tcMar>
          </w:tcPr>
          <w:p>
            <w:r>
              <w:t>Implementation and Quality Evaluation of Clustering Algorithms (K-Means, Hierarchical Agglomerative, DBSCAN) on Real-World Data</w:t>
            </w:r>
          </w:p>
        </w:tc>
      </w:tr>
      <w:tr>
        <w:trPr>
          <w:cantSplit/>
        </w:trPr>
        <w:tc>
          <w:tcPr>
            <w:tcW w:type="dxa" w:w="3600"/>
            <w:vAlign w:val="center"/>
            <w:tcMar>
              <w:top w:w="100" w:type="dxa"/>
              <w:bottom w:w="100" w:type="dxa"/>
              <w:left w:w="140" w:type="dxa"/>
              <w:right w:w="140" w:type="dxa"/>
            </w:tcMar>
          </w:tcPr>
          <w:p>
            <w:r>
              <w:rPr>
                <w:b/>
              </w:rPr>
              <w:t>Date Performed</w:t>
            </w:r>
          </w:p>
        </w:tc>
        <w:tc>
          <w:tcPr>
            <w:tcW w:type="dxa" w:w="6192"/>
            <w:vAlign w:val="center"/>
            <w:tcMar>
              <w:top w:w="100" w:type="dxa"/>
              <w:bottom w:w="100" w:type="dxa"/>
              <w:left w:w="140" w:type="dxa"/>
              <w:right w:w="140" w:type="dxa"/>
            </w:tcMar>
          </w:tcPr>
          <w:p>
            <w:r>
              <w:t>24-10-2026</w:t>
            </w:r>
          </w:p>
        </w:tc>
      </w:tr>
      <w:tr>
        <w:trPr>
          <w:cantSplit/>
        </w:trPr>
        <w:tc>
          <w:tcPr>
            <w:tcW w:type="dxa" w:w="3600"/>
            <w:vAlign w:val="center"/>
            <w:tcMar>
              <w:top w:w="100" w:type="dxa"/>
              <w:bottom w:w="100" w:type="dxa"/>
              <w:left w:w="140" w:type="dxa"/>
              <w:right w:w="140" w:type="dxa"/>
            </w:tcMar>
          </w:tcPr>
          <w:p>
            <w:r>
              <w:rPr>
                <w:b/>
              </w:rPr>
              <w:t>Faculty Name</w:t>
            </w:r>
          </w:p>
        </w:tc>
        <w:tc>
          <w:tcPr>
            <w:tcW w:type="dxa" w:w="6192"/>
            <w:vAlign w:val="center"/>
            <w:tcMar>
              <w:top w:w="100" w:type="dxa"/>
              <w:bottom w:w="100" w:type="dxa"/>
              <w:left w:w="140" w:type="dxa"/>
              <w:right w:w="140" w:type="dxa"/>
            </w:tcMar>
          </w:tcPr>
          <w:p>
            <w:r>
              <w:t>Dr. Khushal Khairnar</w:t>
            </w:r>
          </w:p>
        </w:tc>
      </w:tr>
    </w:tbl>
    <w:p>
      <w:pPr>
        <w:keepNext/>
        <w:spacing w:before="280" w:after="80"/>
      </w:pPr>
      <w:r>
        <w:rPr>
          <w:rFonts w:ascii="Times New Roman" w:hAnsi="Times New Roman"/>
          <w:b/>
          <w:color w:val="154360"/>
          <w:sz w:val="26"/>
        </w:rPr>
        <w:t>3. Problem Statement</w:t>
      </w:r>
    </w:p>
    <w:p>
      <w:pPr>
        <w:spacing w:before="0" w:after="100" w:line="280" w:lineRule="exact"/>
        <w:jc w:val="both"/>
      </w:pPr>
      <w:r>
        <w:rPr>
          <w:rFonts w:ascii="Times New Roman" w:hAnsi="Times New Roman"/>
          <w:b/>
          <w:color w:val="1B263B"/>
          <w:sz w:val="22"/>
        </w:rPr>
        <w:t xml:space="preserve">Problem Statement: </w:t>
      </w:r>
      <w:r>
        <w:rPr>
          <w:rFonts w:ascii="Times New Roman" w:hAnsi="Times New Roman"/>
          <w:color w:val="212121"/>
          <w:sz w:val="22"/>
        </w:rPr>
        <w:t>"Implement clustering algorithms on a real-world dataset to identify meaningful groups within the data. Evaluate the quality of clustering results using appropriate metrics such as silhouette score, Davies Bouldin index, or visual inspection."</w:t>
      </w:r>
    </w:p>
    <w:p>
      <w:pPr>
        <w:spacing w:before="0" w:after="100" w:line="280" w:lineRule="exact"/>
        <w:jc w:val="both"/>
      </w:pPr>
      <w:r>
        <w:rPr>
          <w:rFonts w:ascii="Times New Roman" w:hAnsi="Times New Roman"/>
          <w:color w:val="212121"/>
          <w:sz w:val="22"/>
        </w:rPr>
        <w:t>Unsupervised Machine Learning focuses on discovering latent patterns, intrinsic structural regularities, and natural groupings in unlabelled data. Unlike supervised classification where ground-truth targets guide parameter optimization, clustering algorithms partition data based on geometric proximity, connectivity, or density distributions. Different clustering paradigms operate under fundamentally distinct mathematical assumptions: K-Means partitions feature space into Voronoi cells minimizing within-cluster variance, Hierarchical Agglomerative clustering constructs a multi-scale connectivity tree, while DBSCAN (Density-Based Spatial Clustering of Applications with Noise) identifies dense connected manifolds capable of discovering arbitrary non-linear shapes while filtering out noise.</w:t>
      </w:r>
    </w:p>
    <w:p>
      <w:pPr>
        <w:spacing w:before="0" w:after="100" w:line="280" w:lineRule="exact"/>
        <w:jc w:val="both"/>
      </w:pPr>
      <w:r>
        <w:rPr>
          <w:rFonts w:ascii="Times New Roman" w:hAnsi="Times New Roman"/>
          <w:color w:val="212121"/>
          <w:sz w:val="22"/>
        </w:rPr>
        <w:t>This practical focuses on implementing an end-to-end unsupervised cluster analysis pipeline on the real-world Mall Customer Segmentation Dataset. The objectives are to implement and compare K-Means (with K-Means++ initialization), Hierarchical Agglomerative Clustering (Ward's criterion), DBSCAN, and Gaussian Mixture Models (GMM). Clustering quality is rigorously evaluated using the Elbow Method, Silhouette Score analysis, Davies-Bouldin Index, Calinski-Harabasz Index, and visual inspections in two-dimensional behavioral feature space (Annual Income vs. Spending Score), culminating in actionable commercial customer persona profiles.</w:t>
      </w:r>
    </w:p>
    <w:p>
      <w:pPr>
        <w:keepNext/>
        <w:spacing w:before="280" w:after="80"/>
      </w:pPr>
      <w:r>
        <w:rPr>
          <w:rFonts w:ascii="Times New Roman" w:hAnsi="Times New Roman"/>
          <w:b/>
          <w:color w:val="154360"/>
          <w:sz w:val="26"/>
        </w:rPr>
        <w:t>4. Objectives</w:t>
      </w:r>
    </w:p>
    <w:p>
      <w:pPr>
        <w:pStyle w:val="ListBullet"/>
        <w:spacing w:before="20" w:after="60" w:line="270" w:lineRule="exact"/>
        <w:jc w:val="both"/>
      </w:pPr>
      <w:r>
        <w:rPr>
          <w:rFonts w:ascii="Times New Roman" w:hAnsi="Times New Roman"/>
          <w:b/>
          <w:color w:val="1B263B"/>
          <w:sz w:val="21"/>
        </w:rPr>
        <w:t xml:space="preserve">1. Clustering Paradigms Implementation: </w:t>
      </w:r>
      <w:r>
        <w:rPr>
          <w:rFonts w:ascii="Times New Roman" w:hAnsi="Times New Roman"/>
          <w:color w:val="212121"/>
          <w:sz w:val="21"/>
        </w:rPr>
        <w:t>To implement and contrast three distinct clustering paradigms: Centroid-based (K-Means++), Connectivity-based (Hierarchical Agglomerative with Ward linkage), and Density-based (DBSCAN) using Scikit-Learn.</w:t>
      </w:r>
    </w:p>
    <w:p>
      <w:pPr>
        <w:pStyle w:val="ListBullet"/>
        <w:spacing w:before="20" w:after="60" w:line="270" w:lineRule="exact"/>
        <w:jc w:val="both"/>
      </w:pPr>
      <w:r>
        <w:rPr>
          <w:rFonts w:ascii="Times New Roman" w:hAnsi="Times New Roman"/>
          <w:b/>
          <w:color w:val="1B263B"/>
          <w:sz w:val="21"/>
        </w:rPr>
        <w:t xml:space="preserve">2. Real-World Unsupervised Data Pipeline: </w:t>
      </w:r>
      <w:r>
        <w:rPr>
          <w:rFonts w:ascii="Times New Roman" w:hAnsi="Times New Roman"/>
          <w:color w:val="212121"/>
          <w:sz w:val="21"/>
        </w:rPr>
        <w:t>To execute an end-to-end unsupervised pipeline on the Mall Customer Segmentation dataset, including feature extraction, StandardScaler normalization, and cluster centroid tracking.</w:t>
      </w:r>
    </w:p>
    <w:p>
      <w:pPr>
        <w:pStyle w:val="ListBullet"/>
        <w:spacing w:before="20" w:after="60" w:line="270" w:lineRule="exact"/>
        <w:jc w:val="both"/>
      </w:pPr>
      <w:r>
        <w:rPr>
          <w:rFonts w:ascii="Times New Roman" w:hAnsi="Times New Roman"/>
          <w:b/>
          <w:color w:val="1B263B"/>
          <w:sz w:val="21"/>
        </w:rPr>
        <w:t xml:space="preserve">3. Optimal Hyperparameter Determination: </w:t>
      </w:r>
      <w:r>
        <w:rPr>
          <w:rFonts w:ascii="Times New Roman" w:hAnsi="Times New Roman"/>
          <w:color w:val="212121"/>
          <w:sz w:val="21"/>
        </w:rPr>
        <w:t>To determine the optimal number of clusters K through the Elbow Method (Within-Cluster Sum of Squares) and Silhouette score sweeps across k in [2, 10], and select optimal epsilon for DBSCAN via K-nearest neighbors distance elbow curves.</w:t>
      </w:r>
    </w:p>
    <w:p>
      <w:pPr>
        <w:pStyle w:val="ListBullet"/>
        <w:spacing w:before="20" w:after="60" w:line="270" w:lineRule="exact"/>
        <w:jc w:val="both"/>
      </w:pPr>
      <w:r>
        <w:rPr>
          <w:rFonts w:ascii="Times New Roman" w:hAnsi="Times New Roman"/>
          <w:b/>
          <w:color w:val="1B263B"/>
          <w:sz w:val="21"/>
        </w:rPr>
        <w:t xml:space="preserve">4. Quantitative Quality Evaluation: </w:t>
      </w:r>
      <w:r>
        <w:rPr>
          <w:rFonts w:ascii="Times New Roman" w:hAnsi="Times New Roman"/>
          <w:color w:val="212121"/>
          <w:sz w:val="21"/>
        </w:rPr>
        <w:t>To compute, benchmark, and interpret foundational internal clustering validation indices: Silhouette Score, Davies-Bouldin Index, and Calinski-Harabasz Index.</w:t>
      </w:r>
    </w:p>
    <w:p>
      <w:pPr>
        <w:pStyle w:val="ListBullet"/>
        <w:spacing w:before="20" w:after="60" w:line="270" w:lineRule="exact"/>
        <w:jc w:val="both"/>
      </w:pPr>
      <w:r>
        <w:rPr>
          <w:rFonts w:ascii="Times New Roman" w:hAnsi="Times New Roman"/>
          <w:b/>
          <w:color w:val="1B263B"/>
          <w:sz w:val="21"/>
        </w:rPr>
        <w:t xml:space="preserve">5. Diagnostic Visualization: </w:t>
      </w:r>
      <w:r>
        <w:rPr>
          <w:rFonts w:ascii="Times New Roman" w:hAnsi="Times New Roman"/>
          <w:color w:val="212121"/>
          <w:sz w:val="21"/>
        </w:rPr>
        <w:t>To generate publication-grade visual diagnostics: Dual-axis Elbow/Silhouette sweeps, 2D centroid scatter maps, Hierarchical dendrograms with cut-off thresholds, sample-level silhouette coefficient plots, and demographic boxplots.</w:t>
      </w:r>
    </w:p>
    <w:p>
      <w:pPr>
        <w:pStyle w:val="ListBullet"/>
        <w:spacing w:before="20" w:after="60" w:line="270" w:lineRule="exact"/>
        <w:jc w:val="both"/>
      </w:pPr>
      <w:r>
        <w:rPr>
          <w:rFonts w:ascii="Times New Roman" w:hAnsi="Times New Roman"/>
          <w:b/>
          <w:color w:val="1B263B"/>
          <w:sz w:val="21"/>
        </w:rPr>
        <w:t xml:space="preserve">6. Business Persona Profiling: </w:t>
      </w:r>
      <w:r>
        <w:rPr>
          <w:rFonts w:ascii="Times New Roman" w:hAnsi="Times New Roman"/>
          <w:color w:val="212121"/>
          <w:sz w:val="21"/>
        </w:rPr>
        <w:t>To translate unsupervised geometric clusters into actionable commercial consumer personas (Budget, Impulsive, Moderate, VIP Target, and Savers) with strategic marketing implications.</w:t>
      </w:r>
    </w:p>
    <w:p>
      <w:pPr>
        <w:keepNext/>
        <w:spacing w:before="280" w:after="80"/>
      </w:pPr>
      <w:r>
        <w:rPr>
          <w:rFonts w:ascii="Times New Roman" w:hAnsi="Times New Roman"/>
          <w:b/>
          <w:color w:val="154360"/>
          <w:sz w:val="26"/>
        </w:rPr>
        <w:t>5. Expected Learning Outcomes</w:t>
      </w:r>
    </w:p>
    <w:p>
      <w:pPr>
        <w:spacing w:before="0" w:after="100" w:line="280" w:lineRule="exact"/>
        <w:jc w:val="both"/>
      </w:pPr>
      <w:r>
        <w:rPr>
          <w:rFonts w:ascii="Times New Roman" w:hAnsi="Times New Roman"/>
          <w:color w:val="212121"/>
          <w:sz w:val="22"/>
        </w:rPr>
        <w:t>After completing this practical assignment, the student will be able to:</w:t>
      </w:r>
    </w:p>
    <w:p>
      <w:pPr>
        <w:pStyle w:val="ListBullet"/>
        <w:spacing w:before="20" w:after="60" w:line="270" w:lineRule="exact"/>
        <w:jc w:val="both"/>
      </w:pPr>
      <w:r>
        <w:rPr>
          <w:rFonts w:ascii="Times New Roman" w:hAnsi="Times New Roman"/>
          <w:b/>
          <w:color w:val="1B263B"/>
          <w:sz w:val="21"/>
        </w:rPr>
        <w:t xml:space="preserve">1. Distinguish Clustering Paradigms: </w:t>
      </w:r>
      <w:r>
        <w:rPr>
          <w:rFonts w:ascii="Times New Roman" w:hAnsi="Times New Roman"/>
          <w:color w:val="212121"/>
          <w:sz w:val="21"/>
        </w:rPr>
        <w:t>Explain the core mathematical mechanics, inductive biases, and geometric assumptions of partitioning, hierarchical, and density-based clustering algorithms.</w:t>
      </w:r>
    </w:p>
    <w:p>
      <w:pPr>
        <w:pStyle w:val="ListBullet"/>
        <w:spacing w:before="20" w:after="60" w:line="270" w:lineRule="exact"/>
        <w:jc w:val="both"/>
      </w:pPr>
      <w:r>
        <w:rPr>
          <w:rFonts w:ascii="Times New Roman" w:hAnsi="Times New Roman"/>
          <w:b/>
          <w:color w:val="1B263B"/>
          <w:sz w:val="21"/>
        </w:rPr>
        <w:t xml:space="preserve">2. Master K-Means++ Initialization: </w:t>
      </w:r>
      <w:r>
        <w:rPr>
          <w:rFonts w:ascii="Times New Roman" w:hAnsi="Times New Roman"/>
          <w:color w:val="212121"/>
          <w:sz w:val="21"/>
        </w:rPr>
        <w:t>Explain how K-Means++ probabilistic distance-squared seeding eliminates poor local minima traps compared to standard random centroid initialization.</w:t>
      </w:r>
    </w:p>
    <w:p>
      <w:pPr>
        <w:pStyle w:val="ListBullet"/>
        <w:spacing w:before="20" w:after="60" w:line="270" w:lineRule="exact"/>
        <w:jc w:val="both"/>
      </w:pPr>
      <w:r>
        <w:rPr>
          <w:rFonts w:ascii="Times New Roman" w:hAnsi="Times New Roman"/>
          <w:b/>
          <w:color w:val="1B263B"/>
          <w:sz w:val="21"/>
        </w:rPr>
        <w:t xml:space="preserve">3. Interpret Hierarchical Trees (Dendrograms): </w:t>
      </w:r>
      <w:r>
        <w:rPr>
          <w:rFonts w:ascii="Times New Roman" w:hAnsi="Times New Roman"/>
          <w:color w:val="212121"/>
          <w:sz w:val="21"/>
        </w:rPr>
        <w:t>Read and analyze hierarchical dendrograms to understand multi-scale cluster merges and select mathematically sound cophenetic distance thresholds.</w:t>
      </w:r>
    </w:p>
    <w:p>
      <w:pPr>
        <w:pStyle w:val="ListBullet"/>
        <w:spacing w:before="20" w:after="60" w:line="270" w:lineRule="exact"/>
        <w:jc w:val="both"/>
      </w:pPr>
      <w:r>
        <w:rPr>
          <w:rFonts w:ascii="Times New Roman" w:hAnsi="Times New Roman"/>
          <w:b/>
          <w:color w:val="1B263B"/>
          <w:sz w:val="21"/>
        </w:rPr>
        <w:t xml:space="preserve">4. Apply Density-Based Spatial Clustering: </w:t>
      </w:r>
      <w:r>
        <w:rPr>
          <w:rFonts w:ascii="Times New Roman" w:hAnsi="Times New Roman"/>
          <w:color w:val="212121"/>
          <w:sz w:val="21"/>
        </w:rPr>
        <w:t>Understand how DBSCAN discovers clusters of arbitrary non-convex geometries and how core distance thresholds isolate isolated noise samples.</w:t>
      </w:r>
    </w:p>
    <w:p>
      <w:pPr>
        <w:pStyle w:val="ListBullet"/>
        <w:spacing w:before="20" w:after="60" w:line="270" w:lineRule="exact"/>
        <w:jc w:val="both"/>
      </w:pPr>
      <w:r>
        <w:rPr>
          <w:rFonts w:ascii="Times New Roman" w:hAnsi="Times New Roman"/>
          <w:b/>
          <w:color w:val="1B263B"/>
          <w:sz w:val="21"/>
        </w:rPr>
        <w:t xml:space="preserve">5. Critically Evaluate Unsupervised Metrics: </w:t>
      </w:r>
      <w:r>
        <w:rPr>
          <w:rFonts w:ascii="Times New Roman" w:hAnsi="Times New Roman"/>
          <w:color w:val="212121"/>
          <w:sz w:val="21"/>
        </w:rPr>
        <w:t>Differentiate between Silhouette Score (compactness and separation), Davies-Bouldin Index (cluster dispersion ratio), and Calinski-Harabasz Index (variance ratio criterion) to evaluate cluster validity without ground truth.</w:t>
      </w:r>
    </w:p>
    <w:p>
      <w:pPr>
        <w:keepNext/>
        <w:spacing w:before="280" w:after="80"/>
      </w:pPr>
      <w:r>
        <w:rPr>
          <w:rFonts w:ascii="Times New Roman" w:hAnsi="Times New Roman"/>
          <w:b/>
          <w:color w:val="154360"/>
          <w:sz w:val="26"/>
        </w:rPr>
        <w:t>6. Theory &amp; Architectural Concepts</w:t>
      </w:r>
    </w:p>
    <w:p>
      <w:pPr>
        <w:keepNext/>
        <w:spacing w:before="200" w:after="60"/>
      </w:pPr>
      <w:r>
        <w:rPr>
          <w:rFonts w:ascii="Times New Roman" w:hAnsi="Times New Roman"/>
          <w:b/>
          <w:color w:val="283747"/>
          <w:sz w:val="23"/>
        </w:rPr>
        <w:t>6.1 Overview of Unsupervised Clustering</w:t>
      </w:r>
    </w:p>
    <w:p>
      <w:pPr>
        <w:spacing w:before="0" w:after="100" w:line="280" w:lineRule="exact"/>
        <w:jc w:val="both"/>
      </w:pPr>
      <w:r>
        <w:rPr>
          <w:rFonts w:ascii="Times New Roman" w:hAnsi="Times New Roman"/>
          <w:color w:val="212121"/>
          <w:sz w:val="22"/>
        </w:rPr>
        <w:t>Clustering is the unsupervised task of partitioning an unlabeled dataset D = {x_1, x_2, ..., x_N} in R^d into K disjoint (or fuzzy) subsets C = {C_1, C_2, ..., C_K} such that instances within the same group share high similarity, while instances in different groups exhibit maximum dissimilarity. Unlike supervised learning, no objective ground-truth target y_i is available during training. The three major algorithmic paradigms investigated are:</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Partitioning Methods (K-Means): Construct K discrete partitions minimizing an objective distance function.</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Hierarchical Methods (Agglomerative): Build a nested hierarchical tree of clusters via iterative bottom-up merging.</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Density-Based Methods (DBSCAN): Discover arbitrarily shaped clusters as dense continuous regions separated by low-density noise regions.</w:t>
      </w:r>
    </w:p>
    <w:p>
      <w:pPr>
        <w:keepNext/>
        <w:spacing w:before="200" w:after="60"/>
      </w:pPr>
      <w:r>
        <w:rPr>
          <w:rFonts w:ascii="Times New Roman" w:hAnsi="Times New Roman"/>
          <w:b/>
          <w:color w:val="283747"/>
          <w:sz w:val="23"/>
        </w:rPr>
        <w:t>6.2 K-Means Clustering &amp; K-Means++ Initialization</w:t>
      </w:r>
    </w:p>
    <w:p>
      <w:pPr>
        <w:spacing w:before="0" w:after="100" w:line="280" w:lineRule="exact"/>
        <w:jc w:val="both"/>
      </w:pPr>
      <w:r>
        <w:rPr>
          <w:rFonts w:ascii="Times New Roman" w:hAnsi="Times New Roman"/>
          <w:color w:val="212121"/>
          <w:sz w:val="22"/>
        </w:rPr>
        <w:t>K-Means partitions N observations into K clusters by minimizing the Within-Cluster Sum of Squares (WCSS or Inertia):</w:t>
      </w:r>
    </w:p>
    <w:p>
      <w:pPr>
        <w:spacing w:before="0" w:after="100" w:line="280" w:lineRule="exact"/>
        <w:jc w:val="both"/>
      </w:pPr>
      <w:r>
        <w:rPr>
          <w:rFonts w:ascii="Times New Roman" w:hAnsi="Times New Roman"/>
          <w:b/>
          <w:color w:val="1B263B"/>
          <w:sz w:val="22"/>
        </w:rPr>
        <w:t xml:space="preserve">Objective Function (Inertia): </w:t>
      </w:r>
      <w:r>
        <w:rPr>
          <w:rFonts w:ascii="Times New Roman" w:hAnsi="Times New Roman"/>
          <w:color w:val="212121"/>
          <w:sz w:val="22"/>
        </w:rPr>
        <w:t>J = sum_{k=1}^K sum_{x_i in C_k} ||x_i - mu_k||^2</w:t>
      </w:r>
    </w:p>
    <w:p>
      <w:pPr>
        <w:spacing w:before="0" w:after="100" w:line="280" w:lineRule="exact"/>
        <w:jc w:val="both"/>
      </w:pPr>
      <w:r>
        <w:rPr>
          <w:rFonts w:ascii="Times New Roman" w:hAnsi="Times New Roman"/>
          <w:color w:val="212121"/>
          <w:sz w:val="22"/>
        </w:rPr>
        <w:t>Where mu_k is the geometric mean (centroid) of cluster C_k. Standard Lloyd's algorithm alternates between two steps: (1) Assignment step: assign each point x_i to the nearest centroid; (2) Update step: recalculate centroids as the arithmetic mean of assigned points. Because random initialization frequently converges to suboptimal local minima, K-Means++ initializes centroids sequentially: the first centroid is chosen uniformly at random, and subsequent centroids are chosen with probability proportional to the squared Euclidean distance D(x)^2 to the nearest existing center, ensuring well-dispersed initial centroids.</w:t>
      </w:r>
    </w:p>
    <w:p>
      <w:pPr>
        <w:keepNext/>
        <w:spacing w:before="200" w:after="60"/>
      </w:pPr>
      <w:r>
        <w:rPr>
          <w:rFonts w:ascii="Times New Roman" w:hAnsi="Times New Roman"/>
          <w:b/>
          <w:color w:val="283747"/>
          <w:sz w:val="23"/>
        </w:rPr>
        <w:t>6.3 Hierarchical Agglomerative Clustering (Ward's Method)</w:t>
      </w:r>
    </w:p>
    <w:p>
      <w:pPr>
        <w:spacing w:before="0" w:after="100" w:line="280" w:lineRule="exact"/>
        <w:jc w:val="both"/>
      </w:pPr>
      <w:r>
        <w:rPr>
          <w:rFonts w:ascii="Times New Roman" w:hAnsi="Times New Roman"/>
          <w:color w:val="212121"/>
          <w:sz w:val="22"/>
        </w:rPr>
        <w:t>Hierarchical Agglomerative Clustering (HAC) is a bottom-up approach where every data point begins as its own singleton cluster. At each iteration, the two clusters that minimize a linkage distance metric are merged, continuing until a single root cluster remains. Under Ward's Minimum Variance Linkage, the cost of merging cluster A and B is the increase in the total sum of squares:</w:t>
      </w:r>
    </w:p>
    <w:p>
      <w:pPr>
        <w:spacing w:before="0" w:after="100" w:line="280" w:lineRule="exact"/>
        <w:jc w:val="both"/>
      </w:pPr>
      <w:r>
        <w:rPr>
          <w:rFonts w:ascii="Times New Roman" w:hAnsi="Times New Roman"/>
          <w:b/>
          <w:color w:val="1B263B"/>
          <w:sz w:val="22"/>
        </w:rPr>
        <w:t xml:space="preserve">Ward's Criterion: </w:t>
      </w:r>
      <w:r>
        <w:rPr>
          <w:rFonts w:ascii="Times New Roman" w:hAnsi="Times New Roman"/>
          <w:color w:val="212121"/>
          <w:sz w:val="22"/>
        </w:rPr>
        <w:t>Delta ESS_{A,B} = [ (n_A * n_B) / (n_A + n_B) ] * ||mu_A - mu_B||^2</w:t>
      </w:r>
    </w:p>
    <w:p>
      <w:pPr>
        <w:spacing w:before="0" w:after="100" w:line="280" w:lineRule="exact"/>
        <w:jc w:val="both"/>
      </w:pPr>
      <w:r>
        <w:rPr>
          <w:rFonts w:ascii="Times New Roman" w:hAnsi="Times New Roman"/>
          <w:color w:val="212121"/>
          <w:sz w:val="22"/>
        </w:rPr>
        <w:t>Ward's criterion creates compact, balanced clusters with minimal within-cluster variance. The entire sequence of merges is recorded as a Dendrogram, allowing the practitioner to inspect clustering hierarchies across all spatial scales.</w:t>
      </w:r>
    </w:p>
    <w:p>
      <w:pPr>
        <w:keepNext/>
        <w:spacing w:before="200" w:after="60"/>
      </w:pPr>
      <w:r>
        <w:rPr>
          <w:rFonts w:ascii="Times New Roman" w:hAnsi="Times New Roman"/>
          <w:b/>
          <w:color w:val="283747"/>
          <w:sz w:val="23"/>
        </w:rPr>
        <w:t>6.4 DBSCAN (Density-Based Spatial Clustering)</w:t>
      </w:r>
    </w:p>
    <w:p>
      <w:pPr>
        <w:spacing w:before="0" w:after="100" w:line="280" w:lineRule="exact"/>
        <w:jc w:val="both"/>
      </w:pPr>
      <w:r>
        <w:rPr>
          <w:rFonts w:ascii="Times New Roman" w:hAnsi="Times New Roman"/>
          <w:color w:val="212121"/>
          <w:sz w:val="22"/>
        </w:rPr>
        <w:t>DBSCAN (Ester et al., 1996) defines clusters as continuous high-density areas separated by areas of low density. It requires two primary hyperparameters: epsilon (the maximum radius of a neighborhood) and MinPts (the minimum number of points required to form a dense region). Points are categorized into three distinct roles:</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Core Point: A point p is a core point if |N_eps(p)| &gt;= MinPts, where N_eps(p) = {q in D | dist(p, q) &lt;= eps}.</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Border Point: A point that is within distance eps of a core point but contains fewer than MinPts neighbors.</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Noise Point: A point that is neither a core point nor reachable from any core point (labeled as -1).</w:t>
      </w:r>
    </w:p>
    <w:p>
      <w:pPr>
        <w:spacing w:before="0" w:after="100" w:line="280" w:lineRule="exact"/>
        <w:jc w:val="both"/>
      </w:pPr>
      <w:r>
        <w:rPr>
          <w:rFonts w:ascii="Times New Roman" w:hAnsi="Times New Roman"/>
          <w:color w:val="212121"/>
          <w:sz w:val="22"/>
        </w:rPr>
        <w:t>Key advantages of DBSCAN include: (1) no requirement to specify the number of clusters K a priori; (2) ability to discover clusters of arbitrary, non-spherical shapes; and (3) native resistance to noise and outliers.</w:t>
      </w:r>
    </w:p>
    <w:p>
      <w:pPr>
        <w:keepNext/>
        <w:spacing w:before="200" w:after="60"/>
      </w:pPr>
      <w:r>
        <w:rPr>
          <w:rFonts w:ascii="Times New Roman" w:hAnsi="Times New Roman"/>
          <w:b/>
          <w:color w:val="283747"/>
          <w:sz w:val="23"/>
        </w:rPr>
        <w:t>6.5 Internal Quality Validation Metrics</w:t>
      </w:r>
    </w:p>
    <w:p>
      <w:pPr>
        <w:spacing w:before="0" w:after="100" w:line="280" w:lineRule="exact"/>
        <w:jc w:val="both"/>
      </w:pPr>
      <w:r>
        <w:rPr>
          <w:rFonts w:ascii="Times New Roman" w:hAnsi="Times New Roman"/>
          <w:color w:val="212121"/>
          <w:sz w:val="22"/>
        </w:rPr>
        <w:t>To validate cluster quality without ground-truth labels, the following mathematical metrics are computed:</w:t>
      </w:r>
    </w:p>
    <w:p>
      <w:pPr>
        <w:pStyle w:val="ListBullet"/>
        <w:spacing w:before="20" w:after="60" w:line="270" w:lineRule="exact"/>
        <w:jc w:val="both"/>
      </w:pPr>
      <w:r>
        <w:rPr>
          <w:rFonts w:ascii="Times New Roman" w:hAnsi="Times New Roman"/>
          <w:b/>
          <w:color w:val="1B263B"/>
          <w:sz w:val="21"/>
        </w:rPr>
        <w:t xml:space="preserve">• Silhouette Score: </w:t>
      </w:r>
      <w:r>
        <w:rPr>
          <w:rFonts w:ascii="Times New Roman" w:hAnsi="Times New Roman"/>
          <w:color w:val="212121"/>
          <w:sz w:val="21"/>
        </w:rPr>
        <w:t>Silhouette Score (s in [-1, +1]): For point i, s(i) = (b(i) - a(i)) / max(a(i), b(i)), where a(i) is mean intra-cluster distance and b(i) is mean distance to nearest neighboring cluster. Values close to +1 indicate dense, well-isolated clusters.</w:t>
      </w:r>
    </w:p>
    <w:p>
      <w:pPr>
        <w:pStyle w:val="ListBullet"/>
        <w:spacing w:before="20" w:after="60" w:line="270" w:lineRule="exact"/>
        <w:jc w:val="both"/>
      </w:pPr>
      <w:r>
        <w:rPr>
          <w:rFonts w:ascii="Times New Roman" w:hAnsi="Times New Roman"/>
          <w:b/>
          <w:color w:val="1B263B"/>
          <w:sz w:val="21"/>
        </w:rPr>
        <w:t xml:space="preserve">• Davies-Bouldin Index: </w:t>
      </w:r>
      <w:r>
        <w:rPr>
          <w:rFonts w:ascii="Times New Roman" w:hAnsi="Times New Roman"/>
          <w:color w:val="212121"/>
          <w:sz w:val="21"/>
        </w:rPr>
        <w:t>Davies-Bouldin Index (DB &gt;= 0): DB = (1/K) sum_{i=1}^K max_{j != i} ( (s_i + s_j) / d(c_i, c_j) ), where s_i is cluster dispersion and d is centroid distance. Lower scores indicate superior separation.</w:t>
      </w:r>
    </w:p>
    <w:p>
      <w:pPr>
        <w:pStyle w:val="ListBullet"/>
        <w:spacing w:before="20" w:after="60" w:line="270" w:lineRule="exact"/>
        <w:jc w:val="both"/>
      </w:pPr>
      <w:r>
        <w:rPr>
          <w:rFonts w:ascii="Times New Roman" w:hAnsi="Times New Roman"/>
          <w:b/>
          <w:color w:val="1B263B"/>
          <w:sz w:val="21"/>
        </w:rPr>
        <w:t xml:space="preserve">• Calinski-Harabasz Index: </w:t>
      </w:r>
      <w:r>
        <w:rPr>
          <w:rFonts w:ascii="Times New Roman" w:hAnsi="Times New Roman"/>
          <w:color w:val="212121"/>
          <w:sz w:val="21"/>
        </w:rPr>
        <w:t>Calinski-Harabasz Index (CH): Ratio of between-cluster variance to within-cluster variance: CH = [ Tr(B_K) / (K - 1) ] / [ Tr(W_K) / (N - K) ]. Higher values indicate compact, well-separated clusters.</w:t>
      </w:r>
    </w:p>
    <w:p>
      <w:pPr>
        <w:keepNext/>
        <w:spacing w:before="280" w:after="80"/>
      </w:pPr>
      <w:r>
        <w:rPr>
          <w:rFonts w:ascii="Times New Roman" w:hAnsi="Times New Roman"/>
          <w:b/>
          <w:color w:val="154360"/>
          <w:sz w:val="26"/>
        </w:rPr>
        <w:t>7. Algorithm &amp; Pipeline Workflow</w:t>
      </w:r>
    </w:p>
    <w:p>
      <w:pPr>
        <w:spacing w:before="0" w:after="100" w:line="280" w:lineRule="exact"/>
        <w:jc w:val="both"/>
      </w:pPr>
      <w:r>
        <w:rPr>
          <w:rFonts w:ascii="Times New Roman" w:hAnsi="Times New Roman"/>
          <w:color w:val="212121"/>
          <w:sz w:val="22"/>
        </w:rPr>
        <w:t>START CLUSTERING PIPELINE</w:t>
        <w:br/>
        <w:t>Step 1: Load 200 customer records from Mall Customer Segmentation Dataset.</w:t>
        <w:br/>
        <w:t>Step 2: Extract behavioral feature matrix X = [Annual Income (k$), Spending Score (1-100)].</w:t>
        <w:br/>
        <w:t>Step 3: Standardize features with StandardScaler (z = (x - mu) / sigma) to equalize scales.</w:t>
        <w:br/>
        <w:t>Step 4: Execute K-Means parameter sweep across k in [2, 10]:</w:t>
        <w:br/>
        <w:t xml:space="preserve">        - Compute Inertia (WCSS) to construct the Elbow Curve.</w:t>
        <w:br/>
        <w:t xml:space="preserve">        - Compute Silhouette Score curve to verify global separation peak.</w:t>
        <w:br/>
        <w:t>Step 5: Fit optimal K-Means model (k=5, init='k-means++', n_init=20) and compute inverse-scaled centroids.</w:t>
        <w:br/>
        <w:t>Step 6: Construct Hierarchical Agglomerative tree using Ward Linkage and render full Dendrogram.</w:t>
        <w:br/>
        <w:t>Step 7: Perform K-NN distance plot (k=5) to detect knee for DBSCAN epsilon parameterization (eps=0.35).</w:t>
        <w:br/>
        <w:t>Step 8: Fit DBSCAN and categorize Core, Border, and Noise (-1) outlier samples.</w:t>
        <w:br/>
        <w:t>Step 9: Fit Gaussian Mixture Model (k=5, EM) as soft probabilistic benchmark.</w:t>
        <w:br/>
        <w:t>Step 10: Compute Silhouette Score, Davies-Bouldin Index, and Calinski-Harabasz Index across all algorithms.</w:t>
        <w:br/>
        <w:t>Step 11: Generate 8 publication-grade diagnostic plots.</w:t>
        <w:br/>
        <w:t>Step 12: Aggregate customer profiles and construct actionable business marketing personas.</w:t>
        <w:br/>
        <w:t>STOP CLUSTERING PIPELINE</w:t>
      </w:r>
    </w:p>
    <w:p>
      <w:pPr>
        <w:keepNext/>
        <w:spacing w:before="280" w:after="80"/>
      </w:pPr>
      <w:r>
        <w:rPr>
          <w:rFonts w:ascii="Times New Roman" w:hAnsi="Times New Roman"/>
          <w:b/>
          <w:color w:val="154360"/>
          <w:sz w:val="26"/>
        </w:rPr>
        <w:t>8. Experimental Results &amp; Quantitative Evaluation</w:t>
      </w:r>
    </w:p>
    <w:p>
      <w:pPr>
        <w:spacing w:before="0" w:after="100" w:line="280" w:lineRule="exact"/>
        <w:jc w:val="both"/>
      </w:pPr>
      <w:r>
        <w:rPr>
          <w:rFonts w:ascii="Times New Roman" w:hAnsi="Times New Roman"/>
          <w:color w:val="212121"/>
          <w:sz w:val="22"/>
        </w:rPr>
        <w:t>The quantitative evaluation metrics across the four clustering algorithms on the standardized customer segmentation dataset are summarized below:</w:t>
      </w:r>
    </w:p>
    <w:tbl>
      <w:tblPr>
        <w:tblStyle w:val="TableGrid"/>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cantSplit/>
          <w:tblHeader/>
        </w:trPr>
        <w:tc>
          <w:tcPr>
            <w:tcW w:type="dxa" w:w="2592"/>
            <w:vAlign w:val="center"/>
            <w:tcMar>
              <w:top w:w="100" w:type="dxa"/>
              <w:bottom w:w="100" w:type="dxa"/>
              <w:left w:w="140" w:type="dxa"/>
              <w:right w:w="140" w:type="dxa"/>
            </w:tcMar>
            <w:shd w:fill="2B5C8F"/>
          </w:tcPr>
          <w:p>
            <w:pPr>
              <w:jc w:val="center"/>
            </w:pPr>
            <w:r>
              <w:rPr>
                <w:rFonts w:ascii="Times New Roman" w:hAnsi="Times New Roman"/>
                <w:b/>
                <w:color w:val="FFFFFF"/>
              </w:rPr>
              <w:t>Clustering Algorithm</w:t>
            </w:r>
          </w:p>
        </w:tc>
        <w:tc>
          <w:tcPr>
            <w:tcW w:type="dxa" w:w="1584"/>
            <w:vAlign w:val="center"/>
            <w:tcMar>
              <w:top w:w="100" w:type="dxa"/>
              <w:bottom w:w="100" w:type="dxa"/>
              <w:left w:w="140" w:type="dxa"/>
              <w:right w:w="140" w:type="dxa"/>
            </w:tcMar>
            <w:shd w:fill="2B5C8F"/>
          </w:tcPr>
          <w:p>
            <w:pPr>
              <w:jc w:val="center"/>
            </w:pPr>
            <w:r>
              <w:rPr>
                <w:rFonts w:ascii="Times New Roman" w:hAnsi="Times New Roman"/>
                <w:b/>
                <w:color w:val="FFFFFF"/>
              </w:rPr>
              <w:t>Paradigm</w:t>
            </w:r>
          </w:p>
        </w:tc>
        <w:tc>
          <w:tcPr>
            <w:tcW w:type="dxa" w:w="1008"/>
            <w:vAlign w:val="center"/>
            <w:tcMar>
              <w:top w:w="100" w:type="dxa"/>
              <w:bottom w:w="100" w:type="dxa"/>
              <w:left w:w="140" w:type="dxa"/>
              <w:right w:w="140" w:type="dxa"/>
            </w:tcMar>
            <w:shd w:fill="2B5C8F"/>
          </w:tcPr>
          <w:p>
            <w:pPr>
              <w:jc w:val="center"/>
            </w:pPr>
            <w:r>
              <w:rPr>
                <w:rFonts w:ascii="Times New Roman" w:hAnsi="Times New Roman"/>
                <w:b/>
                <w:color w:val="FFFFFF"/>
              </w:rPr>
              <w:t>Clusters (k)</w:t>
            </w:r>
          </w:p>
        </w:tc>
        <w:tc>
          <w:tcPr>
            <w:tcW w:type="dxa" w:w="1008"/>
            <w:vAlign w:val="center"/>
            <w:tcMar>
              <w:top w:w="100" w:type="dxa"/>
              <w:bottom w:w="100" w:type="dxa"/>
              <w:left w:w="140" w:type="dxa"/>
              <w:right w:w="140" w:type="dxa"/>
            </w:tcMar>
            <w:shd w:fill="2B5C8F"/>
          </w:tcPr>
          <w:p>
            <w:pPr>
              <w:jc w:val="center"/>
            </w:pPr>
            <w:r>
              <w:rPr>
                <w:rFonts w:ascii="Times New Roman" w:hAnsi="Times New Roman"/>
                <w:b/>
                <w:color w:val="FFFFFF"/>
              </w:rPr>
              <w:t>Noise Points</w:t>
            </w:r>
          </w:p>
        </w:tc>
        <w:tc>
          <w:tcPr>
            <w:tcW w:type="dxa" w:w="1080"/>
            <w:vAlign w:val="center"/>
            <w:tcMar>
              <w:top w:w="100" w:type="dxa"/>
              <w:bottom w:w="100" w:type="dxa"/>
              <w:left w:w="140" w:type="dxa"/>
              <w:right w:w="140" w:type="dxa"/>
            </w:tcMar>
            <w:shd w:fill="2B5C8F"/>
          </w:tcPr>
          <w:p>
            <w:pPr>
              <w:jc w:val="center"/>
            </w:pPr>
            <w:r>
              <w:rPr>
                <w:rFonts w:ascii="Times New Roman" w:hAnsi="Times New Roman"/>
                <w:b/>
                <w:color w:val="FFFFFF"/>
              </w:rPr>
              <w:t>Silhouette</w:t>
            </w:r>
          </w:p>
        </w:tc>
        <w:tc>
          <w:tcPr>
            <w:tcW w:type="dxa" w:w="1224"/>
            <w:vAlign w:val="center"/>
            <w:tcMar>
              <w:top w:w="100" w:type="dxa"/>
              <w:bottom w:w="100" w:type="dxa"/>
              <w:left w:w="140" w:type="dxa"/>
              <w:right w:w="140" w:type="dxa"/>
            </w:tcMar>
            <w:shd w:fill="2B5C8F"/>
          </w:tcPr>
          <w:p>
            <w:pPr>
              <w:jc w:val="center"/>
            </w:pPr>
            <w:r>
              <w:rPr>
                <w:rFonts w:ascii="Times New Roman" w:hAnsi="Times New Roman"/>
                <w:b/>
                <w:color w:val="FFFFFF"/>
              </w:rPr>
              <w:t>Davies-Bouldin</w:t>
            </w:r>
          </w:p>
        </w:tc>
        <w:tc>
          <w:tcPr>
            <w:tcW w:type="dxa" w:w="1296"/>
            <w:vAlign w:val="center"/>
            <w:tcMar>
              <w:top w:w="100" w:type="dxa"/>
              <w:bottom w:w="100" w:type="dxa"/>
              <w:left w:w="140" w:type="dxa"/>
              <w:right w:w="140" w:type="dxa"/>
            </w:tcMar>
            <w:shd w:fill="2B5C8F"/>
          </w:tcPr>
          <w:p>
            <w:pPr>
              <w:jc w:val="center"/>
            </w:pPr>
            <w:r>
              <w:rPr>
                <w:rFonts w:ascii="Times New Roman" w:hAnsi="Times New Roman"/>
                <w:b/>
                <w:color w:val="FFFFFF"/>
              </w:rPr>
              <w:t>Calinski-Harabasz</w:t>
            </w:r>
          </w:p>
        </w:tc>
      </w:tr>
      <w:tr>
        <w:trPr>
          <w:cantSplit/>
        </w:trPr>
        <w:tc>
          <w:tcPr>
            <w:tcW w:type="dxa" w:w="2592"/>
            <w:vAlign w:val="center"/>
            <w:tcMar>
              <w:top w:w="100" w:type="dxa"/>
              <w:bottom w:w="100" w:type="dxa"/>
              <w:left w:w="140" w:type="dxa"/>
              <w:right w:w="140" w:type="dxa"/>
            </w:tcMar>
            <w:shd w:fill="F2F4F4"/>
          </w:tcPr>
          <w:p>
            <w:pPr>
              <w:jc w:val="left"/>
            </w:pPr>
            <w:r>
              <w:rPr>
                <w:b/>
              </w:rPr>
              <w:t>DBSCAN (eps=0.35, min=5)</w:t>
            </w:r>
          </w:p>
        </w:tc>
        <w:tc>
          <w:tcPr>
            <w:tcW w:type="dxa" w:w="1584"/>
            <w:vAlign w:val="center"/>
            <w:tcMar>
              <w:top w:w="100" w:type="dxa"/>
              <w:bottom w:w="100" w:type="dxa"/>
              <w:left w:w="140" w:type="dxa"/>
              <w:right w:w="140" w:type="dxa"/>
            </w:tcMar>
            <w:shd w:fill="F2F4F4"/>
          </w:tcPr>
          <w:p>
            <w:pPr>
              <w:jc w:val="left"/>
            </w:pPr>
            <w:r>
              <w:rPr>
                <w:b/>
              </w:rPr>
              <w:t>Density-Based</w:t>
            </w:r>
          </w:p>
        </w:tc>
        <w:tc>
          <w:tcPr>
            <w:tcW w:type="dxa" w:w="1008"/>
            <w:vAlign w:val="center"/>
            <w:tcMar>
              <w:top w:w="100" w:type="dxa"/>
              <w:bottom w:w="100" w:type="dxa"/>
              <w:left w:w="140" w:type="dxa"/>
              <w:right w:w="140" w:type="dxa"/>
            </w:tcMar>
            <w:shd w:fill="F2F4F4"/>
          </w:tcPr>
          <w:p>
            <w:pPr>
              <w:jc w:val="center"/>
            </w:pPr>
            <w:r>
              <w:rPr>
                <w:b/>
              </w:rPr>
              <w:t>5</w:t>
            </w:r>
          </w:p>
        </w:tc>
        <w:tc>
          <w:tcPr>
            <w:tcW w:type="dxa" w:w="1008"/>
            <w:vAlign w:val="center"/>
            <w:tcMar>
              <w:top w:w="100" w:type="dxa"/>
              <w:bottom w:w="100" w:type="dxa"/>
              <w:left w:w="140" w:type="dxa"/>
              <w:right w:w="140" w:type="dxa"/>
            </w:tcMar>
            <w:shd w:fill="F2F4F4"/>
          </w:tcPr>
          <w:p>
            <w:pPr>
              <w:jc w:val="center"/>
            </w:pPr>
            <w:r>
              <w:rPr>
                <w:b/>
              </w:rPr>
              <w:t>27</w:t>
            </w:r>
          </w:p>
        </w:tc>
        <w:tc>
          <w:tcPr>
            <w:tcW w:type="dxa" w:w="1080"/>
            <w:vAlign w:val="center"/>
            <w:tcMar>
              <w:top w:w="100" w:type="dxa"/>
              <w:bottom w:w="100" w:type="dxa"/>
              <w:left w:w="140" w:type="dxa"/>
              <w:right w:w="140" w:type="dxa"/>
            </w:tcMar>
            <w:shd w:fill="F2F4F4"/>
          </w:tcPr>
          <w:p>
            <w:pPr>
              <w:jc w:val="center"/>
            </w:pPr>
            <w:r>
              <w:rPr>
                <w:b/>
              </w:rPr>
              <w:t>0.6347</w:t>
            </w:r>
          </w:p>
        </w:tc>
        <w:tc>
          <w:tcPr>
            <w:tcW w:type="dxa" w:w="1224"/>
            <w:vAlign w:val="center"/>
            <w:tcMar>
              <w:top w:w="100" w:type="dxa"/>
              <w:bottom w:w="100" w:type="dxa"/>
              <w:left w:w="140" w:type="dxa"/>
              <w:right w:w="140" w:type="dxa"/>
            </w:tcMar>
            <w:shd w:fill="F2F4F4"/>
          </w:tcPr>
          <w:p>
            <w:pPr>
              <w:jc w:val="center"/>
            </w:pPr>
            <w:r>
              <w:rPr>
                <w:b/>
              </w:rPr>
              <w:t>0.4359</w:t>
            </w:r>
          </w:p>
        </w:tc>
        <w:tc>
          <w:tcPr>
            <w:tcW w:type="dxa" w:w="1296"/>
            <w:vAlign w:val="center"/>
            <w:tcMar>
              <w:top w:w="100" w:type="dxa"/>
              <w:bottom w:w="100" w:type="dxa"/>
              <w:left w:w="140" w:type="dxa"/>
              <w:right w:w="140" w:type="dxa"/>
            </w:tcMar>
            <w:shd w:fill="F2F4F4"/>
          </w:tcPr>
          <w:p>
            <w:pPr>
              <w:jc w:val="center"/>
            </w:pPr>
            <w:r>
              <w:rPr>
                <w:b/>
              </w:rPr>
              <w:t>354.50</w:t>
            </w:r>
          </w:p>
        </w:tc>
      </w:tr>
      <w:tr>
        <w:trPr>
          <w:cantSplit/>
        </w:trPr>
        <w:tc>
          <w:tcPr>
            <w:tcW w:type="dxa" w:w="2592"/>
            <w:vAlign w:val="center"/>
            <w:tcMar>
              <w:top w:w="100" w:type="dxa"/>
              <w:bottom w:w="100" w:type="dxa"/>
              <w:left w:w="140" w:type="dxa"/>
              <w:right w:w="140" w:type="dxa"/>
            </w:tcMar>
          </w:tcPr>
          <w:p>
            <w:pPr>
              <w:jc w:val="left"/>
            </w:pPr>
            <w:r>
              <w:rPr>
                <w:b/>
              </w:rPr>
              <w:t>K-Means (k=5, k-means++)</w:t>
            </w:r>
          </w:p>
        </w:tc>
        <w:tc>
          <w:tcPr>
            <w:tcW w:type="dxa" w:w="1584"/>
            <w:vAlign w:val="center"/>
            <w:tcMar>
              <w:top w:w="100" w:type="dxa"/>
              <w:bottom w:w="100" w:type="dxa"/>
              <w:left w:w="140" w:type="dxa"/>
              <w:right w:w="140" w:type="dxa"/>
            </w:tcMar>
          </w:tcPr>
          <w:p>
            <w:pPr>
              <w:jc w:val="left"/>
            </w:pPr>
            <w:r>
              <w:rPr>
                <w:b/>
              </w:rPr>
              <w:t>Centroid-Based</w:t>
            </w:r>
          </w:p>
        </w:tc>
        <w:tc>
          <w:tcPr>
            <w:tcW w:type="dxa" w:w="1008"/>
            <w:vAlign w:val="center"/>
            <w:tcMar>
              <w:top w:w="100" w:type="dxa"/>
              <w:bottom w:w="100" w:type="dxa"/>
              <w:left w:w="140" w:type="dxa"/>
              <w:right w:w="140" w:type="dxa"/>
            </w:tcMar>
          </w:tcPr>
          <w:p>
            <w:pPr>
              <w:jc w:val="center"/>
            </w:pPr>
            <w:r>
              <w:rPr>
                <w:b/>
              </w:rPr>
              <w:t>5</w:t>
            </w:r>
          </w:p>
        </w:tc>
        <w:tc>
          <w:tcPr>
            <w:tcW w:type="dxa" w:w="1008"/>
            <w:vAlign w:val="center"/>
            <w:tcMar>
              <w:top w:w="100" w:type="dxa"/>
              <w:bottom w:w="100" w:type="dxa"/>
              <w:left w:w="140" w:type="dxa"/>
              <w:right w:w="140" w:type="dxa"/>
            </w:tcMar>
          </w:tcPr>
          <w:p>
            <w:pPr>
              <w:jc w:val="center"/>
            </w:pPr>
            <w:r>
              <w:rPr>
                <w:b/>
              </w:rPr>
              <w:t>0</w:t>
            </w:r>
          </w:p>
        </w:tc>
        <w:tc>
          <w:tcPr>
            <w:tcW w:type="dxa" w:w="1080"/>
            <w:vAlign w:val="center"/>
            <w:tcMar>
              <w:top w:w="100" w:type="dxa"/>
              <w:bottom w:w="100" w:type="dxa"/>
              <w:left w:w="140" w:type="dxa"/>
              <w:right w:w="140" w:type="dxa"/>
            </w:tcMar>
          </w:tcPr>
          <w:p>
            <w:pPr>
              <w:jc w:val="center"/>
            </w:pPr>
            <w:r>
              <w:rPr>
                <w:b/>
              </w:rPr>
              <w:t>0.5844</w:t>
            </w:r>
          </w:p>
        </w:tc>
        <w:tc>
          <w:tcPr>
            <w:tcW w:type="dxa" w:w="1224"/>
            <w:vAlign w:val="center"/>
            <w:tcMar>
              <w:top w:w="100" w:type="dxa"/>
              <w:bottom w:w="100" w:type="dxa"/>
              <w:left w:w="140" w:type="dxa"/>
              <w:right w:w="140" w:type="dxa"/>
            </w:tcMar>
          </w:tcPr>
          <w:p>
            <w:pPr>
              <w:jc w:val="center"/>
            </w:pPr>
            <w:r>
              <w:rPr>
                <w:b/>
              </w:rPr>
              <w:t>0.5126</w:t>
            </w:r>
          </w:p>
        </w:tc>
        <w:tc>
          <w:tcPr>
            <w:tcW w:type="dxa" w:w="1296"/>
            <w:vAlign w:val="center"/>
            <w:tcMar>
              <w:top w:w="100" w:type="dxa"/>
              <w:bottom w:w="100" w:type="dxa"/>
              <w:left w:w="140" w:type="dxa"/>
              <w:right w:w="140" w:type="dxa"/>
            </w:tcMar>
          </w:tcPr>
          <w:p>
            <w:pPr>
              <w:jc w:val="center"/>
            </w:pPr>
            <w:r>
              <w:rPr>
                <w:b/>
              </w:rPr>
              <w:t>315.69</w:t>
            </w:r>
          </w:p>
        </w:tc>
      </w:tr>
      <w:tr>
        <w:trPr>
          <w:cantSplit/>
        </w:trPr>
        <w:tc>
          <w:tcPr>
            <w:tcW w:type="dxa" w:w="2592"/>
            <w:vAlign w:val="center"/>
            <w:tcMar>
              <w:top w:w="100" w:type="dxa"/>
              <w:bottom w:w="100" w:type="dxa"/>
              <w:left w:w="140" w:type="dxa"/>
              <w:right w:w="140" w:type="dxa"/>
            </w:tcMar>
            <w:shd w:fill="F2F4F4"/>
          </w:tcPr>
          <w:p>
            <w:pPr>
              <w:jc w:val="left"/>
            </w:pPr>
            <w:r>
              <w:t>Gaussian Mixture Model (k=5)</w:t>
            </w:r>
          </w:p>
        </w:tc>
        <w:tc>
          <w:tcPr>
            <w:tcW w:type="dxa" w:w="1584"/>
            <w:vAlign w:val="center"/>
            <w:tcMar>
              <w:top w:w="100" w:type="dxa"/>
              <w:bottom w:w="100" w:type="dxa"/>
              <w:left w:w="140" w:type="dxa"/>
              <w:right w:w="140" w:type="dxa"/>
            </w:tcMar>
            <w:shd w:fill="F2F4F4"/>
          </w:tcPr>
          <w:p>
            <w:pPr>
              <w:jc w:val="left"/>
            </w:pPr>
            <w:r>
              <w:t>Probabilistic (EM)</w:t>
            </w:r>
          </w:p>
        </w:tc>
        <w:tc>
          <w:tcPr>
            <w:tcW w:type="dxa" w:w="1008"/>
            <w:vAlign w:val="center"/>
            <w:tcMar>
              <w:top w:w="100" w:type="dxa"/>
              <w:bottom w:w="100" w:type="dxa"/>
              <w:left w:w="140" w:type="dxa"/>
              <w:right w:w="140" w:type="dxa"/>
            </w:tcMar>
            <w:shd w:fill="F2F4F4"/>
          </w:tcPr>
          <w:p>
            <w:pPr>
              <w:jc w:val="center"/>
            </w:pPr>
            <w:r>
              <w:t>5</w:t>
            </w:r>
          </w:p>
        </w:tc>
        <w:tc>
          <w:tcPr>
            <w:tcW w:type="dxa" w:w="1008"/>
            <w:vAlign w:val="center"/>
            <w:tcMar>
              <w:top w:w="100" w:type="dxa"/>
              <w:bottom w:w="100" w:type="dxa"/>
              <w:left w:w="140" w:type="dxa"/>
              <w:right w:w="140" w:type="dxa"/>
            </w:tcMar>
            <w:shd w:fill="F2F4F4"/>
          </w:tcPr>
          <w:p>
            <w:pPr>
              <w:jc w:val="center"/>
            </w:pPr>
            <w:r>
              <w:t>0</w:t>
            </w:r>
          </w:p>
        </w:tc>
        <w:tc>
          <w:tcPr>
            <w:tcW w:type="dxa" w:w="1080"/>
            <w:vAlign w:val="center"/>
            <w:tcMar>
              <w:top w:w="100" w:type="dxa"/>
              <w:bottom w:w="100" w:type="dxa"/>
              <w:left w:w="140" w:type="dxa"/>
              <w:right w:w="140" w:type="dxa"/>
            </w:tcMar>
            <w:shd w:fill="F2F4F4"/>
          </w:tcPr>
          <w:p>
            <w:pPr>
              <w:jc w:val="center"/>
            </w:pPr>
            <w:r>
              <w:t>0.5834</w:t>
            </w:r>
          </w:p>
        </w:tc>
        <w:tc>
          <w:tcPr>
            <w:tcW w:type="dxa" w:w="1224"/>
            <w:vAlign w:val="center"/>
            <w:tcMar>
              <w:top w:w="100" w:type="dxa"/>
              <w:bottom w:w="100" w:type="dxa"/>
              <w:left w:w="140" w:type="dxa"/>
              <w:right w:w="140" w:type="dxa"/>
            </w:tcMar>
            <w:shd w:fill="F2F4F4"/>
          </w:tcPr>
          <w:p>
            <w:pPr>
              <w:jc w:val="center"/>
            </w:pPr>
            <w:r>
              <w:t>0.5104</w:t>
            </w:r>
          </w:p>
        </w:tc>
        <w:tc>
          <w:tcPr>
            <w:tcW w:type="dxa" w:w="1296"/>
            <w:vAlign w:val="center"/>
            <w:tcMar>
              <w:top w:w="100" w:type="dxa"/>
              <w:bottom w:w="100" w:type="dxa"/>
              <w:left w:w="140" w:type="dxa"/>
              <w:right w:w="140" w:type="dxa"/>
            </w:tcMar>
            <w:shd w:fill="F2F4F4"/>
          </w:tcPr>
          <w:p>
            <w:pPr>
              <w:jc w:val="center"/>
            </w:pPr>
            <w:r>
              <w:t>307.78</w:t>
            </w:r>
          </w:p>
        </w:tc>
      </w:tr>
      <w:tr>
        <w:trPr>
          <w:cantSplit/>
        </w:trPr>
        <w:tc>
          <w:tcPr>
            <w:tcW w:type="dxa" w:w="2592"/>
            <w:vAlign w:val="center"/>
            <w:tcMar>
              <w:top w:w="100" w:type="dxa"/>
              <w:bottom w:w="100" w:type="dxa"/>
              <w:left w:w="140" w:type="dxa"/>
              <w:right w:w="140" w:type="dxa"/>
            </w:tcMar>
          </w:tcPr>
          <w:p>
            <w:pPr>
              <w:jc w:val="left"/>
            </w:pPr>
            <w:r>
              <w:t>Hierarchical Agglomerative (Ward)</w:t>
            </w:r>
          </w:p>
        </w:tc>
        <w:tc>
          <w:tcPr>
            <w:tcW w:type="dxa" w:w="1584"/>
            <w:vAlign w:val="center"/>
            <w:tcMar>
              <w:top w:w="100" w:type="dxa"/>
              <w:bottom w:w="100" w:type="dxa"/>
              <w:left w:w="140" w:type="dxa"/>
              <w:right w:w="140" w:type="dxa"/>
            </w:tcMar>
          </w:tcPr>
          <w:p>
            <w:pPr>
              <w:jc w:val="left"/>
            </w:pPr>
            <w:r>
              <w:t>Connectivity-Based</w:t>
            </w:r>
          </w:p>
        </w:tc>
        <w:tc>
          <w:tcPr>
            <w:tcW w:type="dxa" w:w="1008"/>
            <w:vAlign w:val="center"/>
            <w:tcMar>
              <w:top w:w="100" w:type="dxa"/>
              <w:bottom w:w="100" w:type="dxa"/>
              <w:left w:w="140" w:type="dxa"/>
              <w:right w:w="140" w:type="dxa"/>
            </w:tcMar>
          </w:tcPr>
          <w:p>
            <w:pPr>
              <w:jc w:val="center"/>
            </w:pPr>
            <w:r>
              <w:t>5</w:t>
            </w:r>
          </w:p>
        </w:tc>
        <w:tc>
          <w:tcPr>
            <w:tcW w:type="dxa" w:w="1008"/>
            <w:vAlign w:val="center"/>
            <w:tcMar>
              <w:top w:w="100" w:type="dxa"/>
              <w:bottom w:w="100" w:type="dxa"/>
              <w:left w:w="140" w:type="dxa"/>
              <w:right w:w="140" w:type="dxa"/>
            </w:tcMar>
          </w:tcPr>
          <w:p>
            <w:pPr>
              <w:jc w:val="center"/>
            </w:pPr>
            <w:r>
              <w:t>0</w:t>
            </w:r>
          </w:p>
        </w:tc>
        <w:tc>
          <w:tcPr>
            <w:tcW w:type="dxa" w:w="1080"/>
            <w:vAlign w:val="center"/>
            <w:tcMar>
              <w:top w:w="100" w:type="dxa"/>
              <w:bottom w:w="100" w:type="dxa"/>
              <w:left w:w="140" w:type="dxa"/>
              <w:right w:w="140" w:type="dxa"/>
            </w:tcMar>
          </w:tcPr>
          <w:p>
            <w:pPr>
              <w:jc w:val="center"/>
            </w:pPr>
            <w:r>
              <w:t>0.5748</w:t>
            </w:r>
          </w:p>
        </w:tc>
        <w:tc>
          <w:tcPr>
            <w:tcW w:type="dxa" w:w="1224"/>
            <w:vAlign w:val="center"/>
            <w:tcMar>
              <w:top w:w="100" w:type="dxa"/>
              <w:bottom w:w="100" w:type="dxa"/>
              <w:left w:w="140" w:type="dxa"/>
              <w:right w:w="140" w:type="dxa"/>
            </w:tcMar>
          </w:tcPr>
          <w:p>
            <w:pPr>
              <w:jc w:val="center"/>
            </w:pPr>
            <w:r>
              <w:t>0.5214</w:t>
            </w:r>
          </w:p>
        </w:tc>
        <w:tc>
          <w:tcPr>
            <w:tcW w:type="dxa" w:w="1296"/>
            <w:vAlign w:val="center"/>
            <w:tcMar>
              <w:top w:w="100" w:type="dxa"/>
              <w:bottom w:w="100" w:type="dxa"/>
              <w:left w:w="140" w:type="dxa"/>
              <w:right w:w="140" w:type="dxa"/>
            </w:tcMar>
          </w:tcPr>
          <w:p>
            <w:pPr>
              <w:jc w:val="center"/>
            </w:pPr>
            <w:r>
              <w:t>301.95</w:t>
            </w:r>
          </w:p>
        </w:tc>
      </w:tr>
    </w:tbl>
    <w:p>
      <w:pPr>
        <w:spacing w:before="0" w:after="100" w:line="280" w:lineRule="exact"/>
        <w:jc w:val="both"/>
      </w:pPr>
      <w:r>
        <w:rPr>
          <w:rFonts w:ascii="Times New Roman" w:hAnsi="Times New Roman"/>
          <w:color w:val="212121"/>
          <w:sz w:val="22"/>
        </w:rPr>
        <w:t>Analysis of Empirical Clustering Indices:</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Superiority of K=5 Partition: In the K-Means hyperparameter sweep, WCSS drops precipitously until k=5 (53.51), after which the rate of variance reduction plateaus, confirming the classic elbow knee. Concurrently, the Silhouette Score peaks at 0.5844 for k=5, demonstrating optimal cluster cohesion and separation.</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DBSCAN Noise Filtering: DBSCAN achieved the highest Silhouette Score (0.6347) and lowest Davies-Bouldin Index (0.4359). This occurs because DBSCAN isolates 27 ambiguous boundary points as noise (-1), evaluating only dense core cluster cores.</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Structural Agreement between K-Means and Ward's HAC: K-Means (Silhouette 0.5844) and Ward's Agglomerative Clustering (Silhouette 0.5748) demonstrate virtually identical spatial cluster boundaries, validating that the underlying customer data exhibits convex, naturally separated clusters.</w:t>
      </w:r>
    </w:p>
    <w:p>
      <w:pPr>
        <w:keepNext/>
        <w:spacing w:before="280" w:after="80"/>
      </w:pPr>
      <w:r>
        <w:rPr>
          <w:rFonts w:ascii="Times New Roman" w:hAnsi="Times New Roman"/>
          <w:b/>
          <w:color w:val="154360"/>
          <w:sz w:val="26"/>
        </w:rPr>
        <w:t>9. Actionable Customer Persona Segmentation</w:t>
      </w:r>
    </w:p>
    <w:p>
      <w:pPr>
        <w:spacing w:before="0" w:after="100" w:line="280" w:lineRule="exact"/>
        <w:jc w:val="both"/>
      </w:pPr>
      <w:r>
        <w:rPr>
          <w:rFonts w:ascii="Times New Roman" w:hAnsi="Times New Roman"/>
          <w:color w:val="212121"/>
          <w:sz w:val="22"/>
        </w:rPr>
        <w:t>By projecting the discovered clusters back onto original dollar and spending score scales, five distinct commercial customer personas were synthesized:</w:t>
      </w:r>
    </w:p>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cantSplit/>
          <w:tblHeader/>
        </w:trPr>
        <w:tc>
          <w:tcPr>
            <w:tcW w:type="dxa" w:w="1152"/>
            <w:vAlign w:val="center"/>
            <w:tcMar>
              <w:top w:w="100" w:type="dxa"/>
              <w:bottom w:w="100" w:type="dxa"/>
              <w:left w:w="140" w:type="dxa"/>
              <w:right w:w="140" w:type="dxa"/>
            </w:tcMar>
            <w:shd w:fill="2B5C8F"/>
          </w:tcPr>
          <w:p>
            <w:pPr>
              <w:jc w:val="center"/>
            </w:pPr>
            <w:r>
              <w:rPr>
                <w:rFonts w:ascii="Times New Roman" w:hAnsi="Times New Roman"/>
                <w:b/>
                <w:color w:val="FFFFFF"/>
              </w:rPr>
              <w:t>Cluster</w:t>
            </w:r>
          </w:p>
        </w:tc>
        <w:tc>
          <w:tcPr>
            <w:tcW w:type="dxa" w:w="2016"/>
            <w:vAlign w:val="center"/>
            <w:tcMar>
              <w:top w:w="100" w:type="dxa"/>
              <w:bottom w:w="100" w:type="dxa"/>
              <w:left w:w="140" w:type="dxa"/>
              <w:right w:w="140" w:type="dxa"/>
            </w:tcMar>
            <w:shd w:fill="2B5C8F"/>
          </w:tcPr>
          <w:p>
            <w:pPr>
              <w:jc w:val="center"/>
            </w:pPr>
            <w:r>
              <w:rPr>
                <w:rFonts w:ascii="Times New Roman" w:hAnsi="Times New Roman"/>
                <w:b/>
                <w:color w:val="FFFFFF"/>
              </w:rPr>
              <w:t>Persona Title</w:t>
            </w:r>
          </w:p>
        </w:tc>
        <w:tc>
          <w:tcPr>
            <w:tcW w:type="dxa" w:w="1296"/>
            <w:vAlign w:val="center"/>
            <w:tcMar>
              <w:top w:w="100" w:type="dxa"/>
              <w:bottom w:w="100" w:type="dxa"/>
              <w:left w:w="140" w:type="dxa"/>
              <w:right w:w="140" w:type="dxa"/>
            </w:tcMar>
            <w:shd w:fill="2B5C8F"/>
          </w:tcPr>
          <w:p>
            <w:pPr>
              <w:jc w:val="center"/>
            </w:pPr>
            <w:r>
              <w:rPr>
                <w:rFonts w:ascii="Times New Roman" w:hAnsi="Times New Roman"/>
                <w:b/>
                <w:color w:val="FFFFFF"/>
              </w:rPr>
              <w:t>Customer Count</w:t>
            </w:r>
          </w:p>
        </w:tc>
        <w:tc>
          <w:tcPr>
            <w:tcW w:type="dxa" w:w="1296"/>
            <w:vAlign w:val="center"/>
            <w:tcMar>
              <w:top w:w="100" w:type="dxa"/>
              <w:bottom w:w="100" w:type="dxa"/>
              <w:left w:w="140" w:type="dxa"/>
              <w:right w:w="140" w:type="dxa"/>
            </w:tcMar>
            <w:shd w:fill="2B5C8F"/>
          </w:tcPr>
          <w:p>
            <w:pPr>
              <w:jc w:val="center"/>
            </w:pPr>
            <w:r>
              <w:rPr>
                <w:rFonts w:ascii="Times New Roman" w:hAnsi="Times New Roman"/>
                <w:b/>
                <w:color w:val="FFFFFF"/>
              </w:rPr>
              <w:t>Mean Income</w:t>
            </w:r>
          </w:p>
        </w:tc>
        <w:tc>
          <w:tcPr>
            <w:tcW w:type="dxa" w:w="1296"/>
            <w:vAlign w:val="center"/>
            <w:tcMar>
              <w:top w:w="100" w:type="dxa"/>
              <w:bottom w:w="100" w:type="dxa"/>
              <w:left w:w="140" w:type="dxa"/>
              <w:right w:w="140" w:type="dxa"/>
            </w:tcMar>
            <w:shd w:fill="2B5C8F"/>
          </w:tcPr>
          <w:p>
            <w:pPr>
              <w:jc w:val="center"/>
            </w:pPr>
            <w:r>
              <w:rPr>
                <w:rFonts w:ascii="Times New Roman" w:hAnsi="Times New Roman"/>
                <w:b/>
                <w:color w:val="FFFFFF"/>
              </w:rPr>
              <w:t>Mean Spending</w:t>
            </w:r>
          </w:p>
        </w:tc>
        <w:tc>
          <w:tcPr>
            <w:tcW w:type="dxa" w:w="2736"/>
            <w:vAlign w:val="center"/>
            <w:tcMar>
              <w:top w:w="100" w:type="dxa"/>
              <w:bottom w:w="100" w:type="dxa"/>
              <w:left w:w="140" w:type="dxa"/>
              <w:right w:w="140" w:type="dxa"/>
            </w:tcMar>
            <w:shd w:fill="2B5C8F"/>
          </w:tcPr>
          <w:p>
            <w:pPr>
              <w:jc w:val="center"/>
            </w:pPr>
            <w:r>
              <w:rPr>
                <w:rFonts w:ascii="Times New Roman" w:hAnsi="Times New Roman"/>
                <w:b/>
                <w:color w:val="FFFFFF"/>
              </w:rPr>
              <w:t>Actionable Business Strategy</w:t>
            </w:r>
          </w:p>
        </w:tc>
      </w:tr>
      <w:tr>
        <w:trPr>
          <w:cantSplit/>
        </w:trPr>
        <w:tc>
          <w:tcPr>
            <w:tcW w:type="dxa" w:w="1152"/>
            <w:vAlign w:val="center"/>
            <w:tcMar>
              <w:top w:w="100" w:type="dxa"/>
              <w:bottom w:w="100" w:type="dxa"/>
              <w:left w:w="140" w:type="dxa"/>
              <w:right w:w="140" w:type="dxa"/>
            </w:tcMar>
            <w:shd w:fill="F2F4F4"/>
          </w:tcPr>
          <w:p>
            <w:pPr>
              <w:jc w:val="center"/>
            </w:pPr>
            <w:r>
              <w:t>Cluster 1</w:t>
            </w:r>
          </w:p>
        </w:tc>
        <w:tc>
          <w:tcPr>
            <w:tcW w:type="dxa" w:w="2016"/>
            <w:vAlign w:val="center"/>
            <w:tcMar>
              <w:top w:w="100" w:type="dxa"/>
              <w:bottom w:w="100" w:type="dxa"/>
              <w:left w:w="140" w:type="dxa"/>
              <w:right w:w="140" w:type="dxa"/>
            </w:tcMar>
            <w:shd w:fill="F2F4F4"/>
          </w:tcPr>
          <w:p>
            <w:pPr>
              <w:jc w:val="left"/>
            </w:pPr>
            <w:r>
              <w:t>Sensible / Budget</w:t>
            </w:r>
          </w:p>
        </w:tc>
        <w:tc>
          <w:tcPr>
            <w:tcW w:type="dxa" w:w="1296"/>
            <w:vAlign w:val="center"/>
            <w:tcMar>
              <w:top w:w="100" w:type="dxa"/>
              <w:bottom w:w="100" w:type="dxa"/>
              <w:left w:w="140" w:type="dxa"/>
              <w:right w:w="140" w:type="dxa"/>
            </w:tcMar>
            <w:shd w:fill="F2F4F4"/>
          </w:tcPr>
          <w:p>
            <w:pPr>
              <w:jc w:val="center"/>
            </w:pPr>
            <w:r>
              <w:t>23 (11.5%)</w:t>
            </w:r>
          </w:p>
        </w:tc>
        <w:tc>
          <w:tcPr>
            <w:tcW w:type="dxa" w:w="1296"/>
            <w:vAlign w:val="center"/>
            <w:tcMar>
              <w:top w:w="100" w:type="dxa"/>
              <w:bottom w:w="100" w:type="dxa"/>
              <w:left w:w="140" w:type="dxa"/>
              <w:right w:w="140" w:type="dxa"/>
            </w:tcMar>
            <w:shd w:fill="F2F4F4"/>
          </w:tcPr>
          <w:p>
            <w:pPr>
              <w:jc w:val="center"/>
            </w:pPr>
            <w:r>
              <w:t>$26.3k</w:t>
            </w:r>
          </w:p>
        </w:tc>
        <w:tc>
          <w:tcPr>
            <w:tcW w:type="dxa" w:w="1296"/>
            <w:vAlign w:val="center"/>
            <w:tcMar>
              <w:top w:w="100" w:type="dxa"/>
              <w:bottom w:w="100" w:type="dxa"/>
              <w:left w:w="140" w:type="dxa"/>
              <w:right w:w="140" w:type="dxa"/>
            </w:tcMar>
            <w:shd w:fill="F2F4F4"/>
          </w:tcPr>
          <w:p>
            <w:pPr>
              <w:jc w:val="center"/>
            </w:pPr>
            <w:r>
              <w:t>20.9 / 100</w:t>
            </w:r>
          </w:p>
        </w:tc>
        <w:tc>
          <w:tcPr>
            <w:tcW w:type="dxa" w:w="2736"/>
            <w:vAlign w:val="center"/>
            <w:tcMar>
              <w:top w:w="100" w:type="dxa"/>
              <w:bottom w:w="100" w:type="dxa"/>
              <w:left w:w="140" w:type="dxa"/>
              <w:right w:w="140" w:type="dxa"/>
            </w:tcMar>
            <w:shd w:fill="F2F4F4"/>
          </w:tcPr>
          <w:p>
            <w:pPr>
              <w:jc w:val="left"/>
            </w:pPr>
            <w:r>
              <w:t>Discount vouchers, budget loyalty programs, essential goods promotion.</w:t>
            </w:r>
          </w:p>
        </w:tc>
      </w:tr>
      <w:tr>
        <w:trPr>
          <w:cantSplit/>
        </w:trPr>
        <w:tc>
          <w:tcPr>
            <w:tcW w:type="dxa" w:w="1152"/>
            <w:vAlign w:val="center"/>
            <w:tcMar>
              <w:top w:w="100" w:type="dxa"/>
              <w:bottom w:w="100" w:type="dxa"/>
              <w:left w:w="140" w:type="dxa"/>
              <w:right w:w="140" w:type="dxa"/>
            </w:tcMar>
          </w:tcPr>
          <w:p>
            <w:pPr>
              <w:jc w:val="center"/>
            </w:pPr>
            <w:r>
              <w:t>Cluster 2</w:t>
            </w:r>
          </w:p>
        </w:tc>
        <w:tc>
          <w:tcPr>
            <w:tcW w:type="dxa" w:w="2016"/>
            <w:vAlign w:val="center"/>
            <w:tcMar>
              <w:top w:w="100" w:type="dxa"/>
              <w:bottom w:w="100" w:type="dxa"/>
              <w:left w:w="140" w:type="dxa"/>
              <w:right w:w="140" w:type="dxa"/>
            </w:tcMar>
          </w:tcPr>
          <w:p>
            <w:pPr>
              <w:jc w:val="left"/>
            </w:pPr>
            <w:r>
              <w:t>Careless / Impulsive</w:t>
            </w:r>
          </w:p>
        </w:tc>
        <w:tc>
          <w:tcPr>
            <w:tcW w:type="dxa" w:w="1296"/>
            <w:vAlign w:val="center"/>
            <w:tcMar>
              <w:top w:w="100" w:type="dxa"/>
              <w:bottom w:w="100" w:type="dxa"/>
              <w:left w:w="140" w:type="dxa"/>
              <w:right w:w="140" w:type="dxa"/>
            </w:tcMar>
          </w:tcPr>
          <w:p>
            <w:pPr>
              <w:jc w:val="center"/>
            </w:pPr>
            <w:r>
              <w:t>22 (11.0%)</w:t>
            </w:r>
          </w:p>
        </w:tc>
        <w:tc>
          <w:tcPr>
            <w:tcW w:type="dxa" w:w="1296"/>
            <w:vAlign w:val="center"/>
            <w:tcMar>
              <w:top w:w="100" w:type="dxa"/>
              <w:bottom w:w="100" w:type="dxa"/>
              <w:left w:w="140" w:type="dxa"/>
              <w:right w:w="140" w:type="dxa"/>
            </w:tcMar>
          </w:tcPr>
          <w:p>
            <w:pPr>
              <w:jc w:val="center"/>
            </w:pPr>
            <w:r>
              <w:t>$25.7k</w:t>
            </w:r>
          </w:p>
        </w:tc>
        <w:tc>
          <w:tcPr>
            <w:tcW w:type="dxa" w:w="1296"/>
            <w:vAlign w:val="center"/>
            <w:tcMar>
              <w:top w:w="100" w:type="dxa"/>
              <w:bottom w:w="100" w:type="dxa"/>
              <w:left w:w="140" w:type="dxa"/>
              <w:right w:w="140" w:type="dxa"/>
            </w:tcMar>
          </w:tcPr>
          <w:p>
            <w:pPr>
              <w:jc w:val="center"/>
            </w:pPr>
            <w:r>
              <w:t>79.4 / 100</w:t>
            </w:r>
          </w:p>
        </w:tc>
        <w:tc>
          <w:tcPr>
            <w:tcW w:type="dxa" w:w="2736"/>
            <w:vAlign w:val="center"/>
            <w:tcMar>
              <w:top w:w="100" w:type="dxa"/>
              <w:bottom w:w="100" w:type="dxa"/>
              <w:left w:w="140" w:type="dxa"/>
              <w:right w:w="140" w:type="dxa"/>
            </w:tcMar>
          </w:tcPr>
          <w:p>
            <w:pPr>
              <w:jc w:val="left"/>
            </w:pPr>
            <w:r>
              <w:t>Trendy fashion sales, gamified rewards, instalment financing options.</w:t>
            </w:r>
          </w:p>
        </w:tc>
      </w:tr>
      <w:tr>
        <w:trPr>
          <w:cantSplit/>
        </w:trPr>
        <w:tc>
          <w:tcPr>
            <w:tcW w:type="dxa" w:w="1152"/>
            <w:vAlign w:val="center"/>
            <w:tcMar>
              <w:top w:w="100" w:type="dxa"/>
              <w:bottom w:w="100" w:type="dxa"/>
              <w:left w:w="140" w:type="dxa"/>
              <w:right w:w="140" w:type="dxa"/>
            </w:tcMar>
            <w:shd w:fill="F2F4F4"/>
          </w:tcPr>
          <w:p>
            <w:pPr>
              <w:jc w:val="center"/>
            </w:pPr>
            <w:r>
              <w:t>Cluster 3</w:t>
            </w:r>
          </w:p>
        </w:tc>
        <w:tc>
          <w:tcPr>
            <w:tcW w:type="dxa" w:w="2016"/>
            <w:vAlign w:val="center"/>
            <w:tcMar>
              <w:top w:w="100" w:type="dxa"/>
              <w:bottom w:w="100" w:type="dxa"/>
              <w:left w:w="140" w:type="dxa"/>
              <w:right w:w="140" w:type="dxa"/>
            </w:tcMar>
            <w:shd w:fill="F2F4F4"/>
          </w:tcPr>
          <w:p>
            <w:pPr>
              <w:jc w:val="left"/>
            </w:pPr>
            <w:r>
              <w:t>Standard / Moderate</w:t>
            </w:r>
          </w:p>
        </w:tc>
        <w:tc>
          <w:tcPr>
            <w:tcW w:type="dxa" w:w="1296"/>
            <w:vAlign w:val="center"/>
            <w:tcMar>
              <w:top w:w="100" w:type="dxa"/>
              <w:bottom w:w="100" w:type="dxa"/>
              <w:left w:w="140" w:type="dxa"/>
              <w:right w:w="140" w:type="dxa"/>
            </w:tcMar>
            <w:shd w:fill="F2F4F4"/>
          </w:tcPr>
          <w:p>
            <w:pPr>
              <w:jc w:val="center"/>
            </w:pPr>
            <w:r>
              <w:t>81 (40.5%)</w:t>
            </w:r>
          </w:p>
        </w:tc>
        <w:tc>
          <w:tcPr>
            <w:tcW w:type="dxa" w:w="1296"/>
            <w:vAlign w:val="center"/>
            <w:tcMar>
              <w:top w:w="100" w:type="dxa"/>
              <w:bottom w:w="100" w:type="dxa"/>
              <w:left w:w="140" w:type="dxa"/>
              <w:right w:w="140" w:type="dxa"/>
            </w:tcMar>
            <w:shd w:fill="F2F4F4"/>
          </w:tcPr>
          <w:p>
            <w:pPr>
              <w:jc w:val="center"/>
            </w:pPr>
            <w:r>
              <w:t>$55.3k</w:t>
            </w:r>
          </w:p>
        </w:tc>
        <w:tc>
          <w:tcPr>
            <w:tcW w:type="dxa" w:w="1296"/>
            <w:vAlign w:val="center"/>
            <w:tcMar>
              <w:top w:w="100" w:type="dxa"/>
              <w:bottom w:w="100" w:type="dxa"/>
              <w:left w:w="140" w:type="dxa"/>
              <w:right w:w="140" w:type="dxa"/>
            </w:tcMar>
            <w:shd w:fill="F2F4F4"/>
          </w:tcPr>
          <w:p>
            <w:pPr>
              <w:jc w:val="center"/>
            </w:pPr>
            <w:r>
              <w:t>49.5 / 100</w:t>
            </w:r>
          </w:p>
        </w:tc>
        <w:tc>
          <w:tcPr>
            <w:tcW w:type="dxa" w:w="2736"/>
            <w:vAlign w:val="center"/>
            <w:tcMar>
              <w:top w:w="100" w:type="dxa"/>
              <w:bottom w:w="100" w:type="dxa"/>
              <w:left w:w="140" w:type="dxa"/>
              <w:right w:w="140" w:type="dxa"/>
            </w:tcMar>
            <w:shd w:fill="F2F4F4"/>
          </w:tcPr>
          <w:p>
            <w:pPr>
              <w:jc w:val="left"/>
            </w:pPr>
            <w:r>
              <w:t>Middle-class retail backbone; family seasonal deals, staple retail discounts.</w:t>
            </w:r>
          </w:p>
        </w:tc>
      </w:tr>
      <w:tr>
        <w:trPr>
          <w:cantSplit/>
        </w:trPr>
        <w:tc>
          <w:tcPr>
            <w:tcW w:type="dxa" w:w="1152"/>
            <w:vAlign w:val="center"/>
            <w:tcMar>
              <w:top w:w="100" w:type="dxa"/>
              <w:bottom w:w="100" w:type="dxa"/>
              <w:left w:w="140" w:type="dxa"/>
              <w:right w:w="140" w:type="dxa"/>
            </w:tcMar>
          </w:tcPr>
          <w:p>
            <w:pPr>
              <w:jc w:val="center"/>
            </w:pPr>
            <w:r>
              <w:t>Cluster 4</w:t>
            </w:r>
          </w:p>
        </w:tc>
        <w:tc>
          <w:tcPr>
            <w:tcW w:type="dxa" w:w="2016"/>
            <w:vAlign w:val="center"/>
            <w:tcMar>
              <w:top w:w="100" w:type="dxa"/>
              <w:bottom w:w="100" w:type="dxa"/>
              <w:left w:w="140" w:type="dxa"/>
              <w:right w:w="140" w:type="dxa"/>
            </w:tcMar>
          </w:tcPr>
          <w:p>
            <w:pPr>
              <w:jc w:val="left"/>
            </w:pPr>
            <w:r>
              <w:t>Affluent / Target (VIP)</w:t>
            </w:r>
          </w:p>
        </w:tc>
        <w:tc>
          <w:tcPr>
            <w:tcW w:type="dxa" w:w="1296"/>
            <w:vAlign w:val="center"/>
            <w:tcMar>
              <w:top w:w="100" w:type="dxa"/>
              <w:bottom w:w="100" w:type="dxa"/>
              <w:left w:w="140" w:type="dxa"/>
              <w:right w:w="140" w:type="dxa"/>
            </w:tcMar>
          </w:tcPr>
          <w:p>
            <w:pPr>
              <w:jc w:val="center"/>
            </w:pPr>
            <w:r>
              <w:t>39 (19.5%)</w:t>
            </w:r>
          </w:p>
        </w:tc>
        <w:tc>
          <w:tcPr>
            <w:tcW w:type="dxa" w:w="1296"/>
            <w:vAlign w:val="center"/>
            <w:tcMar>
              <w:top w:w="100" w:type="dxa"/>
              <w:bottom w:w="100" w:type="dxa"/>
              <w:left w:w="140" w:type="dxa"/>
              <w:right w:w="140" w:type="dxa"/>
            </w:tcMar>
          </w:tcPr>
          <w:p>
            <w:pPr>
              <w:jc w:val="center"/>
            </w:pPr>
            <w:r>
              <w:t>$86.5k</w:t>
            </w:r>
          </w:p>
        </w:tc>
        <w:tc>
          <w:tcPr>
            <w:tcW w:type="dxa" w:w="1296"/>
            <w:vAlign w:val="center"/>
            <w:tcMar>
              <w:top w:w="100" w:type="dxa"/>
              <w:bottom w:w="100" w:type="dxa"/>
              <w:left w:w="140" w:type="dxa"/>
              <w:right w:w="140" w:type="dxa"/>
            </w:tcMar>
          </w:tcPr>
          <w:p>
            <w:pPr>
              <w:jc w:val="center"/>
            </w:pPr>
            <w:r>
              <w:t>82.1 / 100</w:t>
            </w:r>
          </w:p>
        </w:tc>
        <w:tc>
          <w:tcPr>
            <w:tcW w:type="dxa" w:w="2736"/>
            <w:vAlign w:val="center"/>
            <w:tcMar>
              <w:top w:w="100" w:type="dxa"/>
              <w:bottom w:w="100" w:type="dxa"/>
              <w:left w:w="140" w:type="dxa"/>
              <w:right w:w="140" w:type="dxa"/>
            </w:tcMar>
          </w:tcPr>
          <w:p>
            <w:pPr>
              <w:jc w:val="left"/>
            </w:pPr>
            <w:r>
              <w:t>High-value primary target: Luxury previews, VIP concierge, fine dining events.</w:t>
            </w:r>
          </w:p>
        </w:tc>
      </w:tr>
      <w:tr>
        <w:trPr>
          <w:cantSplit/>
        </w:trPr>
        <w:tc>
          <w:tcPr>
            <w:tcW w:type="dxa" w:w="1152"/>
            <w:vAlign w:val="center"/>
            <w:tcMar>
              <w:top w:w="100" w:type="dxa"/>
              <w:bottom w:w="100" w:type="dxa"/>
              <w:left w:w="140" w:type="dxa"/>
              <w:right w:w="140" w:type="dxa"/>
            </w:tcMar>
            <w:shd w:fill="F2F4F4"/>
          </w:tcPr>
          <w:p>
            <w:pPr>
              <w:jc w:val="center"/>
            </w:pPr>
            <w:r>
              <w:t>Cluster 5</w:t>
            </w:r>
          </w:p>
        </w:tc>
        <w:tc>
          <w:tcPr>
            <w:tcW w:type="dxa" w:w="2016"/>
            <w:vAlign w:val="center"/>
            <w:tcMar>
              <w:top w:w="100" w:type="dxa"/>
              <w:bottom w:w="100" w:type="dxa"/>
              <w:left w:w="140" w:type="dxa"/>
              <w:right w:w="140" w:type="dxa"/>
            </w:tcMar>
            <w:shd w:fill="F2F4F4"/>
          </w:tcPr>
          <w:p>
            <w:pPr>
              <w:jc w:val="left"/>
            </w:pPr>
            <w:r>
              <w:t>Careful / Savers</w:t>
            </w:r>
          </w:p>
        </w:tc>
        <w:tc>
          <w:tcPr>
            <w:tcW w:type="dxa" w:w="1296"/>
            <w:vAlign w:val="center"/>
            <w:tcMar>
              <w:top w:w="100" w:type="dxa"/>
              <w:bottom w:w="100" w:type="dxa"/>
              <w:left w:w="140" w:type="dxa"/>
              <w:right w:w="140" w:type="dxa"/>
            </w:tcMar>
            <w:shd w:fill="F2F4F4"/>
          </w:tcPr>
          <w:p>
            <w:pPr>
              <w:jc w:val="center"/>
            </w:pPr>
            <w:r>
              <w:t>35 (17.5%)</w:t>
            </w:r>
          </w:p>
        </w:tc>
        <w:tc>
          <w:tcPr>
            <w:tcW w:type="dxa" w:w="1296"/>
            <w:vAlign w:val="center"/>
            <w:tcMar>
              <w:top w:w="100" w:type="dxa"/>
              <w:bottom w:w="100" w:type="dxa"/>
              <w:left w:w="140" w:type="dxa"/>
              <w:right w:w="140" w:type="dxa"/>
            </w:tcMar>
            <w:shd w:fill="F2F4F4"/>
          </w:tcPr>
          <w:p>
            <w:pPr>
              <w:jc w:val="center"/>
            </w:pPr>
            <w:r>
              <w:t>$88.2k</w:t>
            </w:r>
          </w:p>
        </w:tc>
        <w:tc>
          <w:tcPr>
            <w:tcW w:type="dxa" w:w="1296"/>
            <w:vAlign w:val="center"/>
            <w:tcMar>
              <w:top w:w="100" w:type="dxa"/>
              <w:bottom w:w="100" w:type="dxa"/>
              <w:left w:w="140" w:type="dxa"/>
              <w:right w:w="140" w:type="dxa"/>
            </w:tcMar>
            <w:shd w:fill="F2F4F4"/>
          </w:tcPr>
          <w:p>
            <w:pPr>
              <w:jc w:val="center"/>
            </w:pPr>
            <w:r>
              <w:t>17.1 / 100</w:t>
            </w:r>
          </w:p>
        </w:tc>
        <w:tc>
          <w:tcPr>
            <w:tcW w:type="dxa" w:w="2736"/>
            <w:vAlign w:val="center"/>
            <w:tcMar>
              <w:top w:w="100" w:type="dxa"/>
              <w:bottom w:w="100" w:type="dxa"/>
              <w:left w:w="140" w:type="dxa"/>
              <w:right w:w="140" w:type="dxa"/>
            </w:tcMar>
            <w:shd w:fill="F2F4F4"/>
          </w:tcPr>
          <w:p>
            <w:pPr>
              <w:jc w:val="left"/>
            </w:pPr>
            <w:r>
              <w:t>Quality-focused marketing, durable luxury goods, investment/wealth products.</w:t>
            </w:r>
          </w:p>
        </w:tc>
      </w:tr>
    </w:tbl>
    <w:p>
      <w:pPr>
        <w:keepNext/>
        <w:spacing w:before="280" w:after="80"/>
      </w:pPr>
      <w:r>
        <w:rPr>
          <w:rFonts w:ascii="Times New Roman" w:hAnsi="Times New Roman"/>
          <w:b/>
          <w:color w:val="154360"/>
          <w:sz w:val="26"/>
        </w:rPr>
        <w:t>10. Diagnostic Visualizations &amp; Analysis</w:t>
      </w:r>
    </w:p>
    <w:p>
      <w:pPr>
        <w:keepNext/>
        <w:spacing w:before="160" w:after="60"/>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01_kmeans_elbow_and_silhouette_sweep.png"/>
                    <pic:cNvPicPr/>
                  </pic:nvPicPr>
                  <pic:blipFill>
                    <a:blip r:embed="rId9"/>
                    <a:stretch>
                      <a:fillRect/>
                    </a:stretch>
                  </pic:blipFill>
                  <pic:spPr>
                    <a:xfrm>
                      <a:off x="0" y="0"/>
                      <a:ext cx="5669280" cy="3401568"/>
                    </a:xfrm>
                    <a:prstGeom prst="rect"/>
                  </pic:spPr>
                </pic:pic>
              </a:graphicData>
            </a:graphic>
          </wp:inline>
        </w:drawing>
      </w:r>
    </w:p>
    <w:p>
      <w:pPr>
        <w:spacing w:before="40" w:after="200"/>
        <w:jc w:val="center"/>
      </w:pPr>
      <w:r>
        <w:rPr>
          <w:rFonts w:ascii="Times New Roman" w:hAnsi="Times New Roman"/>
          <w:b/>
          <w:i/>
          <w:color w:val="566573"/>
          <w:sz w:val="19"/>
        </w:rPr>
        <w:t>Figure 6.1: Dual-Axis K-Means Hyperparameter Optimization: Inertia (WCSS) Elbow Curve and Silhouette Score Sweep across k in [2, 10].</w:t>
      </w:r>
    </w:p>
    <w:p>
      <w:pPr>
        <w:spacing w:before="0" w:after="100" w:line="280" w:lineRule="exact"/>
        <w:jc w:val="both"/>
      </w:pPr>
      <w:r>
        <w:rPr>
          <w:rFonts w:ascii="Times New Roman" w:hAnsi="Times New Roman"/>
          <w:color w:val="212121"/>
          <w:sz w:val="22"/>
        </w:rPr>
        <w:t>Figure 6.1 displays the parameter selection landscape. The blue curve illustrates the Elbow Method: inertia drops dramatically from 258.70 (k=2) to 53.51 (k=5), after which the curve levels off. Concurrently, the dashed green Silhouette curve peaks at k=5 (0.5844), providing mathematical proof that five clusters form the optimal partitioning.</w:t>
      </w:r>
    </w:p>
    <w:p>
      <w:pPr>
        <w:keepNext/>
        <w:spacing w:before="160" w:after="60"/>
        <w:jc w:val="center"/>
      </w:pPr>
      <w:r>
        <w:drawing>
          <wp:inline xmlns:a="http://schemas.openxmlformats.org/drawingml/2006/main" xmlns:pic="http://schemas.openxmlformats.org/drawingml/2006/picture">
            <wp:extent cx="5669280" cy="3968496"/>
            <wp:docPr id="2" name="Picture 2"/>
            <wp:cNvGraphicFramePr>
              <a:graphicFrameLocks noChangeAspect="1"/>
            </wp:cNvGraphicFramePr>
            <a:graphic>
              <a:graphicData uri="http://schemas.openxmlformats.org/drawingml/2006/picture">
                <pic:pic>
                  <pic:nvPicPr>
                    <pic:cNvPr id="0" name="02_kmeans_clusters_2d_centroids.png"/>
                    <pic:cNvPicPr/>
                  </pic:nvPicPr>
                  <pic:blipFill>
                    <a:blip r:embed="rId10"/>
                    <a:stretch>
                      <a:fillRect/>
                    </a:stretch>
                  </pic:blipFill>
                  <pic:spPr>
                    <a:xfrm>
                      <a:off x="0" y="0"/>
                      <a:ext cx="5669280" cy="3968496"/>
                    </a:xfrm>
                    <a:prstGeom prst="rect"/>
                  </pic:spPr>
                </pic:pic>
              </a:graphicData>
            </a:graphic>
          </wp:inline>
        </w:drawing>
      </w:r>
    </w:p>
    <w:p>
      <w:pPr>
        <w:spacing w:before="40" w:after="200"/>
        <w:jc w:val="center"/>
      </w:pPr>
      <w:r>
        <w:rPr>
          <w:rFonts w:ascii="Times New Roman" w:hAnsi="Times New Roman"/>
          <w:b/>
          <w:i/>
          <w:color w:val="566573"/>
          <w:sz w:val="19"/>
        </w:rPr>
        <w:t>Figure 6.2: 2D Spatial Customer Clusters with Color-Coded Personas and Annotated Centroids.</w:t>
      </w:r>
    </w:p>
    <w:p>
      <w:pPr>
        <w:spacing w:before="0" w:after="100" w:line="280" w:lineRule="exact"/>
        <w:jc w:val="both"/>
      </w:pPr>
      <w:r>
        <w:rPr>
          <w:rFonts w:ascii="Times New Roman" w:hAnsi="Times New Roman"/>
          <w:color w:val="212121"/>
          <w:sz w:val="22"/>
        </w:rPr>
        <w:t>Figure 6.2 plots customers along Annual Income vs. Spending Score. Yellow stars mark the geometric centroids. The five distinct quadrants and center cluster correspond precisely to commercial customer archetypes.</w:t>
      </w:r>
    </w:p>
    <w:p>
      <w:pPr>
        <w:keepNext/>
        <w:spacing w:before="160" w:after="60"/>
        <w:jc w:val="center"/>
      </w:pPr>
      <w:r>
        <w:drawing>
          <wp:inline xmlns:a="http://schemas.openxmlformats.org/drawingml/2006/main" xmlns:pic="http://schemas.openxmlformats.org/drawingml/2006/picture">
            <wp:extent cx="5669280" cy="3070860"/>
            <wp:docPr id="3" name="Picture 3"/>
            <wp:cNvGraphicFramePr>
              <a:graphicFrameLocks noChangeAspect="1"/>
            </wp:cNvGraphicFramePr>
            <a:graphic>
              <a:graphicData uri="http://schemas.openxmlformats.org/drawingml/2006/picture">
                <pic:pic>
                  <pic:nvPicPr>
                    <pic:cNvPr id="0" name="03_hierarchical_dendrogram.png"/>
                    <pic:cNvPicPr/>
                  </pic:nvPicPr>
                  <pic:blipFill>
                    <a:blip r:embed="rId11"/>
                    <a:stretch>
                      <a:fillRect/>
                    </a:stretch>
                  </pic:blipFill>
                  <pic:spPr>
                    <a:xfrm>
                      <a:off x="0" y="0"/>
                      <a:ext cx="5669280" cy="3070860"/>
                    </a:xfrm>
                    <a:prstGeom prst="rect"/>
                  </pic:spPr>
                </pic:pic>
              </a:graphicData>
            </a:graphic>
          </wp:inline>
        </w:drawing>
      </w:r>
    </w:p>
    <w:p>
      <w:pPr>
        <w:spacing w:before="40" w:after="200"/>
        <w:jc w:val="center"/>
      </w:pPr>
      <w:r>
        <w:rPr>
          <w:rFonts w:ascii="Times New Roman" w:hAnsi="Times New Roman"/>
          <w:b/>
          <w:i/>
          <w:color w:val="566573"/>
          <w:sz w:val="19"/>
        </w:rPr>
        <w:t>Figure 6.3: Hierarchical Agglomerative Clustering Dendrogram using Ward Linkage with Cut-Off Threshold.</w:t>
      </w:r>
    </w:p>
    <w:p>
      <w:pPr>
        <w:spacing w:before="0" w:after="100" w:line="280" w:lineRule="exact"/>
        <w:jc w:val="both"/>
      </w:pPr>
      <w:r>
        <w:rPr>
          <w:rFonts w:ascii="Times New Roman" w:hAnsi="Times New Roman"/>
          <w:color w:val="212121"/>
          <w:sz w:val="22"/>
        </w:rPr>
        <w:t>Figure 6.3 presents the hierarchical tree. The vertical axis represents cophenetic Euclidean distance between merged clusters. The horizontal dashed red line at distance threshold 5.0 cuts across five vertical branches, corroborating the K-Means finding.</w:t>
      </w:r>
    </w:p>
    <w:p>
      <w:pPr>
        <w:keepNext/>
        <w:spacing w:before="160" w:after="60"/>
        <w:jc w:val="center"/>
      </w:pPr>
      <w:r>
        <w:drawing>
          <wp:inline xmlns:a="http://schemas.openxmlformats.org/drawingml/2006/main" xmlns:pic="http://schemas.openxmlformats.org/drawingml/2006/picture">
            <wp:extent cx="5669280" cy="2429691"/>
            <wp:docPr id="4" name="Picture 4"/>
            <wp:cNvGraphicFramePr>
              <a:graphicFrameLocks noChangeAspect="1"/>
            </wp:cNvGraphicFramePr>
            <a:graphic>
              <a:graphicData uri="http://schemas.openxmlformats.org/drawingml/2006/picture">
                <pic:pic>
                  <pic:nvPicPr>
                    <pic:cNvPr id="0" name="04_hierarchical_vs_kmeans_comparison.png"/>
                    <pic:cNvPicPr/>
                  </pic:nvPicPr>
                  <pic:blipFill>
                    <a:blip r:embed="rId12"/>
                    <a:stretch>
                      <a:fillRect/>
                    </a:stretch>
                  </pic:blipFill>
                  <pic:spPr>
                    <a:xfrm>
                      <a:off x="0" y="0"/>
                      <a:ext cx="5669280" cy="2429691"/>
                    </a:xfrm>
                    <a:prstGeom prst="rect"/>
                  </pic:spPr>
                </pic:pic>
              </a:graphicData>
            </a:graphic>
          </wp:inline>
        </w:drawing>
      </w:r>
    </w:p>
    <w:p>
      <w:pPr>
        <w:spacing w:before="40" w:after="200"/>
        <w:jc w:val="center"/>
      </w:pPr>
      <w:r>
        <w:rPr>
          <w:rFonts w:ascii="Times New Roman" w:hAnsi="Times New Roman"/>
          <w:b/>
          <w:i/>
          <w:color w:val="566573"/>
          <w:sz w:val="19"/>
        </w:rPr>
        <w:t>Figure 6.4: Structural Comparison: K-Means (k=5) vs. Hierarchical Agglomerative Clustering (k=5).</w:t>
      </w:r>
    </w:p>
    <w:p>
      <w:pPr>
        <w:spacing w:before="0" w:after="100" w:line="280" w:lineRule="exact"/>
        <w:jc w:val="both"/>
      </w:pPr>
      <w:r>
        <w:rPr>
          <w:rFonts w:ascii="Times New Roman" w:hAnsi="Times New Roman"/>
          <w:color w:val="212121"/>
          <w:sz w:val="22"/>
        </w:rPr>
        <w:t>Figure 6.4 displays side-by-side scatter plots. Both algorithms yield near-identical cluster allocations, proving that the five customer segments are robust to algorithm choice.</w:t>
      </w:r>
    </w:p>
    <w:p>
      <w:pPr>
        <w:keepNext/>
        <w:spacing w:before="160" w:after="60"/>
        <w:jc w:val="center"/>
      </w:pPr>
      <w:r>
        <w:drawing>
          <wp:inline xmlns:a="http://schemas.openxmlformats.org/drawingml/2006/main" xmlns:pic="http://schemas.openxmlformats.org/drawingml/2006/picture">
            <wp:extent cx="5669280" cy="2429691"/>
            <wp:docPr id="5" name="Picture 5"/>
            <wp:cNvGraphicFramePr>
              <a:graphicFrameLocks noChangeAspect="1"/>
            </wp:cNvGraphicFramePr>
            <a:graphic>
              <a:graphicData uri="http://schemas.openxmlformats.org/drawingml/2006/picture">
                <pic:pic>
                  <pic:nvPicPr>
                    <pic:cNvPr id="0" name="05_dbscan_k_distance_and_clusters.png"/>
                    <pic:cNvPicPr/>
                  </pic:nvPicPr>
                  <pic:blipFill>
                    <a:blip r:embed="rId13"/>
                    <a:stretch>
                      <a:fillRect/>
                    </a:stretch>
                  </pic:blipFill>
                  <pic:spPr>
                    <a:xfrm>
                      <a:off x="0" y="0"/>
                      <a:ext cx="5669280" cy="2429691"/>
                    </a:xfrm>
                    <a:prstGeom prst="rect"/>
                  </pic:spPr>
                </pic:pic>
              </a:graphicData>
            </a:graphic>
          </wp:inline>
        </w:drawing>
      </w:r>
    </w:p>
    <w:p>
      <w:pPr>
        <w:spacing w:before="40" w:after="200"/>
        <w:jc w:val="center"/>
      </w:pPr>
      <w:r>
        <w:rPr>
          <w:rFonts w:ascii="Times New Roman" w:hAnsi="Times New Roman"/>
          <w:b/>
          <w:i/>
          <w:color w:val="566573"/>
          <w:sz w:val="19"/>
        </w:rPr>
        <w:t>Figure 6.5: DBSCAN 5-Nearest Neighbor Distance Elbow Curve (Left) and Density-Based Cluster Assignments with Noise Points (Right).</w:t>
      </w:r>
    </w:p>
    <w:p>
      <w:pPr>
        <w:spacing w:before="0" w:after="100" w:line="280" w:lineRule="exact"/>
        <w:jc w:val="both"/>
      </w:pPr>
      <w:r>
        <w:rPr>
          <w:rFonts w:ascii="Times New Roman" w:hAnsi="Times New Roman"/>
          <w:color w:val="212121"/>
          <w:sz w:val="22"/>
        </w:rPr>
        <w:t>Figure 6.5 illustrates DBSCAN parameterization. The left panel shows the 5-NN distance curve with an elbow knee at epsilon=0.35. The right panel shows the resulting clusters, identifying five dense clusters and isolating 27 peripheral points as noise (marked with black crosses).</w:t>
      </w:r>
    </w:p>
    <w:p>
      <w:pPr>
        <w:keepNext/>
        <w:spacing w:before="160" w:after="60"/>
        <w:jc w:val="center"/>
      </w:pPr>
      <w:r>
        <w:drawing>
          <wp:inline xmlns:a="http://schemas.openxmlformats.org/drawingml/2006/main" xmlns:pic="http://schemas.openxmlformats.org/drawingml/2006/picture">
            <wp:extent cx="5669280" cy="3685032"/>
            <wp:docPr id="6" name="Picture 6"/>
            <wp:cNvGraphicFramePr>
              <a:graphicFrameLocks noChangeAspect="1"/>
            </wp:cNvGraphicFramePr>
            <a:graphic>
              <a:graphicData uri="http://schemas.openxmlformats.org/drawingml/2006/picture">
                <pic:pic>
                  <pic:nvPicPr>
                    <pic:cNvPr id="0" name="06_silhouette_analysis_per_cluster.png"/>
                    <pic:cNvPicPr/>
                  </pic:nvPicPr>
                  <pic:blipFill>
                    <a:blip r:embed="rId14"/>
                    <a:stretch>
                      <a:fillRect/>
                    </a:stretch>
                  </pic:blipFill>
                  <pic:spPr>
                    <a:xfrm>
                      <a:off x="0" y="0"/>
                      <a:ext cx="5669280" cy="3685032"/>
                    </a:xfrm>
                    <a:prstGeom prst="rect"/>
                  </pic:spPr>
                </pic:pic>
              </a:graphicData>
            </a:graphic>
          </wp:inline>
        </w:drawing>
      </w:r>
    </w:p>
    <w:p>
      <w:pPr>
        <w:spacing w:before="40" w:after="200"/>
        <w:jc w:val="center"/>
      </w:pPr>
      <w:r>
        <w:rPr>
          <w:rFonts w:ascii="Times New Roman" w:hAnsi="Times New Roman"/>
          <w:b/>
          <w:i/>
          <w:color w:val="566573"/>
          <w:sz w:val="19"/>
        </w:rPr>
        <w:t>Figure 6.6: Comprehensive Silhouette Coefficient Plot for Individual Customers across K-Means Clusters.</w:t>
      </w:r>
    </w:p>
    <w:p>
      <w:pPr>
        <w:spacing w:before="0" w:after="100" w:line="280" w:lineRule="exact"/>
        <w:jc w:val="both"/>
      </w:pPr>
      <w:r>
        <w:rPr>
          <w:rFonts w:ascii="Times New Roman" w:hAnsi="Times New Roman"/>
          <w:color w:val="212121"/>
          <w:sz w:val="22"/>
        </w:rPr>
        <w:t>Figure 6.6 presents silhouette coefficients for individual instances. The dashed red vertical line denotes the average silhouette score (0.5844). All five clusters possess consistent silhouette widths with virtually no negative values, confirming optimal cluster cohesion.</w:t>
      </w:r>
    </w:p>
    <w:p>
      <w:pPr>
        <w:keepNext/>
        <w:spacing w:before="160" w:after="60"/>
        <w:jc w:val="center"/>
      </w:pPr>
      <w:r>
        <w:drawing>
          <wp:inline xmlns:a="http://schemas.openxmlformats.org/drawingml/2006/main" xmlns:pic="http://schemas.openxmlformats.org/drawingml/2006/picture">
            <wp:extent cx="5669280" cy="2024743"/>
            <wp:docPr id="7" name="Picture 7"/>
            <wp:cNvGraphicFramePr>
              <a:graphicFrameLocks noChangeAspect="1"/>
            </wp:cNvGraphicFramePr>
            <a:graphic>
              <a:graphicData uri="http://schemas.openxmlformats.org/drawingml/2006/picture">
                <pic:pic>
                  <pic:nvPicPr>
                    <pic:cNvPr id="0" name="07_clustering_metrics_comparison_bar.png"/>
                    <pic:cNvPicPr/>
                  </pic:nvPicPr>
                  <pic:blipFill>
                    <a:blip r:embed="rId15"/>
                    <a:stretch>
                      <a:fillRect/>
                    </a:stretch>
                  </pic:blipFill>
                  <pic:spPr>
                    <a:xfrm>
                      <a:off x="0" y="0"/>
                      <a:ext cx="5669280" cy="2024743"/>
                    </a:xfrm>
                    <a:prstGeom prst="rect"/>
                  </pic:spPr>
                </pic:pic>
              </a:graphicData>
            </a:graphic>
          </wp:inline>
        </w:drawing>
      </w:r>
    </w:p>
    <w:p>
      <w:pPr>
        <w:spacing w:before="40" w:after="200"/>
        <w:jc w:val="center"/>
      </w:pPr>
      <w:r>
        <w:rPr>
          <w:rFonts w:ascii="Times New Roman" w:hAnsi="Times New Roman"/>
          <w:b/>
          <w:i/>
          <w:color w:val="566573"/>
          <w:sz w:val="19"/>
        </w:rPr>
        <w:t>Figure 6.7: Quantitative Quality Metrics Comparison (Silhouette, Davies-Bouldin, Calinski-Harabasz) across Algorithms.</w:t>
      </w:r>
    </w:p>
    <w:p>
      <w:pPr>
        <w:spacing w:before="0" w:after="100" w:line="280" w:lineRule="exact"/>
        <w:jc w:val="both"/>
      </w:pPr>
      <w:r>
        <w:rPr>
          <w:rFonts w:ascii="Times New Roman" w:hAnsi="Times New Roman"/>
          <w:color w:val="212121"/>
          <w:sz w:val="22"/>
        </w:rPr>
        <w:t>Figure 6.7 provides a tri-panel comparative bar chart. Across all three metrics, K-Means, Ward HAC, and GMM demonstrate tightly matched performance, while DBSCAN achieves the highest silhouette and lowest Davies-Bouldin index due to outlier isolation.</w:t>
      </w:r>
    </w:p>
    <w:p>
      <w:pPr>
        <w:keepNext/>
        <w:spacing w:before="160" w:after="60"/>
        <w:jc w:val="center"/>
      </w:pPr>
      <w:r>
        <w:drawing>
          <wp:inline xmlns:a="http://schemas.openxmlformats.org/drawingml/2006/main" xmlns:pic="http://schemas.openxmlformats.org/drawingml/2006/picture">
            <wp:extent cx="5669280" cy="2429691"/>
            <wp:docPr id="8" name="Picture 8"/>
            <wp:cNvGraphicFramePr>
              <a:graphicFrameLocks noChangeAspect="1"/>
            </wp:cNvGraphicFramePr>
            <a:graphic>
              <a:graphicData uri="http://schemas.openxmlformats.org/drawingml/2006/picture">
                <pic:pic>
                  <pic:nvPicPr>
                    <pic:cNvPr id="0" name="08_cluster_business_personas.png"/>
                    <pic:cNvPicPr/>
                  </pic:nvPicPr>
                  <pic:blipFill>
                    <a:blip r:embed="rId16"/>
                    <a:stretch>
                      <a:fillRect/>
                    </a:stretch>
                  </pic:blipFill>
                  <pic:spPr>
                    <a:xfrm>
                      <a:off x="0" y="0"/>
                      <a:ext cx="5669280" cy="2429691"/>
                    </a:xfrm>
                    <a:prstGeom prst="rect"/>
                  </pic:spPr>
                </pic:pic>
              </a:graphicData>
            </a:graphic>
          </wp:inline>
        </w:drawing>
      </w:r>
    </w:p>
    <w:p>
      <w:pPr>
        <w:spacing w:before="40" w:after="200"/>
        <w:jc w:val="center"/>
      </w:pPr>
      <w:r>
        <w:rPr>
          <w:rFonts w:ascii="Times New Roman" w:hAnsi="Times New Roman"/>
          <w:b/>
          <w:i/>
          <w:color w:val="566573"/>
          <w:sz w:val="19"/>
        </w:rPr>
        <w:t>Figure 6.8: Boxplot Demographic Distributions of Annual Income and Spending Score across Discovered Clusters.</w:t>
      </w:r>
    </w:p>
    <w:p>
      <w:pPr>
        <w:spacing w:before="0" w:after="100" w:line="280" w:lineRule="exact"/>
        <w:jc w:val="both"/>
      </w:pPr>
      <w:r>
        <w:rPr>
          <w:rFonts w:ascii="Times New Roman" w:hAnsi="Times New Roman"/>
          <w:color w:val="212121"/>
          <w:sz w:val="22"/>
        </w:rPr>
        <w:t>Figure 6.8 shows distribution boxplots for each cluster. Non-overlapping interquartile ranges (IQR) across income and spending confirm clean separation between consumer classes.</w:t>
      </w:r>
    </w:p>
    <w:p>
      <w:pPr>
        <w:keepNext/>
        <w:spacing w:before="280" w:after="80"/>
      </w:pPr>
      <w:r>
        <w:rPr>
          <w:rFonts w:ascii="Times New Roman" w:hAnsi="Times New Roman"/>
          <w:b/>
          <w:color w:val="154360"/>
          <w:sz w:val="26"/>
        </w:rPr>
        <w:t>11. Comparative Analysis &amp; Strategic Algorithm Selection</w:t>
      </w:r>
    </w:p>
    <w:p>
      <w:pPr>
        <w:spacing w:before="0" w:after="100" w:line="280" w:lineRule="exact"/>
        <w:jc w:val="both"/>
      </w:pPr>
      <w:r>
        <w:rPr>
          <w:rFonts w:ascii="Times New Roman" w:hAnsi="Times New Roman"/>
          <w:color w:val="212121"/>
          <w:sz w:val="22"/>
        </w:rPr>
        <w:t>Different clustering algorithms are designed for distinct geometric topologies and operational constraints: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blHeader/>
        </w:trPr>
        <w:tc>
          <w:tcPr>
            <w:tcW w:type="dxa" w:w="2160"/>
            <w:vAlign w:val="center"/>
            <w:tcMar>
              <w:top w:w="100" w:type="dxa"/>
              <w:bottom w:w="100" w:type="dxa"/>
              <w:left w:w="140" w:type="dxa"/>
              <w:right w:w="140" w:type="dxa"/>
            </w:tcMar>
            <w:shd w:fill="2B5C8F"/>
          </w:tcPr>
          <w:p>
            <w:pPr>
              <w:jc w:val="center"/>
            </w:pPr>
            <w:r>
              <w:rPr>
                <w:rFonts w:ascii="Times New Roman" w:hAnsi="Times New Roman"/>
                <w:b/>
                <w:color w:val="FFFFFF"/>
              </w:rPr>
              <w:t>Clustering Algorithm</w:t>
            </w:r>
          </w:p>
        </w:tc>
        <w:tc>
          <w:tcPr>
            <w:tcW w:type="dxa" w:w="2304"/>
            <w:vAlign w:val="center"/>
            <w:tcMar>
              <w:top w:w="100" w:type="dxa"/>
              <w:bottom w:w="100" w:type="dxa"/>
              <w:left w:w="140" w:type="dxa"/>
              <w:right w:w="140" w:type="dxa"/>
            </w:tcMar>
            <w:shd w:fill="2B5C8F"/>
          </w:tcPr>
          <w:p>
            <w:pPr>
              <w:jc w:val="center"/>
            </w:pPr>
            <w:r>
              <w:rPr>
                <w:rFonts w:ascii="Times New Roman" w:hAnsi="Times New Roman"/>
                <w:b/>
                <w:color w:val="FFFFFF"/>
              </w:rPr>
              <w:t>Cluster Topology</w:t>
            </w:r>
          </w:p>
        </w:tc>
        <w:tc>
          <w:tcPr>
            <w:tcW w:type="dxa" w:w="2880"/>
            <w:vAlign w:val="center"/>
            <w:tcMar>
              <w:top w:w="100" w:type="dxa"/>
              <w:bottom w:w="100" w:type="dxa"/>
              <w:left w:w="140" w:type="dxa"/>
              <w:right w:w="140" w:type="dxa"/>
            </w:tcMar>
            <w:shd w:fill="2B5C8F"/>
          </w:tcPr>
          <w:p>
            <w:pPr>
              <w:jc w:val="center"/>
            </w:pPr>
            <w:r>
              <w:rPr>
                <w:rFonts w:ascii="Times New Roman" w:hAnsi="Times New Roman"/>
                <w:b/>
                <w:color w:val="FFFFFF"/>
              </w:rPr>
              <w:t>Ideal Use Case</w:t>
            </w:r>
          </w:p>
        </w:tc>
        <w:tc>
          <w:tcPr>
            <w:tcW w:type="dxa" w:w="2448"/>
            <w:vAlign w:val="center"/>
            <w:tcMar>
              <w:top w:w="100" w:type="dxa"/>
              <w:bottom w:w="100" w:type="dxa"/>
              <w:left w:w="140" w:type="dxa"/>
              <w:right w:w="140" w:type="dxa"/>
            </w:tcMar>
            <w:shd w:fill="2B5C8F"/>
          </w:tcPr>
          <w:p>
            <w:pPr>
              <w:jc w:val="center"/>
            </w:pPr>
            <w:r>
              <w:rPr>
                <w:rFonts w:ascii="Times New Roman" w:hAnsi="Times New Roman"/>
                <w:b/>
                <w:color w:val="FFFFFF"/>
              </w:rPr>
              <w:t>Operational Limitations</w:t>
            </w:r>
          </w:p>
        </w:tc>
      </w:tr>
      <w:tr>
        <w:trPr>
          <w:cantSplit/>
        </w:trPr>
        <w:tc>
          <w:tcPr>
            <w:tcW w:type="dxa" w:w="2160"/>
            <w:vAlign w:val="center"/>
            <w:tcMar>
              <w:top w:w="100" w:type="dxa"/>
              <w:bottom w:w="100" w:type="dxa"/>
              <w:left w:w="140" w:type="dxa"/>
              <w:right w:w="140" w:type="dxa"/>
            </w:tcMar>
            <w:shd w:fill="F2F4F4"/>
          </w:tcPr>
          <w:p>
            <w:r>
              <w:t>K-Means++</w:t>
            </w:r>
          </w:p>
        </w:tc>
        <w:tc>
          <w:tcPr>
            <w:tcW w:type="dxa" w:w="2304"/>
            <w:vAlign w:val="center"/>
            <w:tcMar>
              <w:top w:w="100" w:type="dxa"/>
              <w:bottom w:w="100" w:type="dxa"/>
              <w:left w:w="140" w:type="dxa"/>
              <w:right w:w="140" w:type="dxa"/>
            </w:tcMar>
            <w:shd w:fill="F2F4F4"/>
          </w:tcPr>
          <w:p>
            <w:r>
              <w:t>Convex, spherical, isotropic clusters with comparable variance.</w:t>
            </w:r>
          </w:p>
        </w:tc>
        <w:tc>
          <w:tcPr>
            <w:tcW w:type="dxa" w:w="2880"/>
            <w:vAlign w:val="center"/>
            <w:tcMar>
              <w:top w:w="100" w:type="dxa"/>
              <w:bottom w:w="100" w:type="dxa"/>
              <w:left w:w="140" w:type="dxa"/>
              <w:right w:w="140" w:type="dxa"/>
            </w:tcMar>
            <w:shd w:fill="F2F4F4"/>
          </w:tcPr>
          <w:p>
            <w:r>
              <w:t>High-throughput customer segmentation; large tabular datasets where compute efficiency (O(N*k*d)) is mandatory.</w:t>
            </w:r>
          </w:p>
        </w:tc>
        <w:tc>
          <w:tcPr>
            <w:tcW w:type="dxa" w:w="2448"/>
            <w:vAlign w:val="center"/>
            <w:tcMar>
              <w:top w:w="100" w:type="dxa"/>
              <w:bottom w:w="100" w:type="dxa"/>
              <w:left w:w="140" w:type="dxa"/>
              <w:right w:w="140" w:type="dxa"/>
            </w:tcMar>
            <w:shd w:fill="F2F4F4"/>
          </w:tcPr>
          <w:p>
            <w:r>
              <w:t>Requires specifying K upfront; sensitive to non-spherical geometries and extreme outliers.</w:t>
            </w:r>
          </w:p>
        </w:tc>
      </w:tr>
      <w:tr>
        <w:trPr>
          <w:cantSplit/>
        </w:trPr>
        <w:tc>
          <w:tcPr>
            <w:tcW w:type="dxa" w:w="2160"/>
            <w:vAlign w:val="center"/>
            <w:tcMar>
              <w:top w:w="100" w:type="dxa"/>
              <w:bottom w:w="100" w:type="dxa"/>
              <w:left w:w="140" w:type="dxa"/>
              <w:right w:w="140" w:type="dxa"/>
            </w:tcMar>
          </w:tcPr>
          <w:p>
            <w:r>
              <w:t>Hierarchical Agglomerative</w:t>
            </w:r>
          </w:p>
        </w:tc>
        <w:tc>
          <w:tcPr>
            <w:tcW w:type="dxa" w:w="2304"/>
            <w:vAlign w:val="center"/>
            <w:tcMar>
              <w:top w:w="100" w:type="dxa"/>
              <w:bottom w:w="100" w:type="dxa"/>
              <w:left w:w="140" w:type="dxa"/>
              <w:right w:w="140" w:type="dxa"/>
            </w:tcMar>
          </w:tcPr>
          <w:p>
            <w:r>
              <w:t>Hierarchical taxonomies; nested multi-scale clusters.</w:t>
            </w:r>
          </w:p>
        </w:tc>
        <w:tc>
          <w:tcPr>
            <w:tcW w:type="dxa" w:w="2880"/>
            <w:vAlign w:val="center"/>
            <w:tcMar>
              <w:top w:w="100" w:type="dxa"/>
              <w:bottom w:w="100" w:type="dxa"/>
              <w:left w:w="140" w:type="dxa"/>
              <w:right w:w="140" w:type="dxa"/>
            </w:tcMar>
          </w:tcPr>
          <w:p>
            <w:r>
              <w:t>Taxonomic biological classification; small-to-medium datasets (&lt; 5,000 samples) where visual dendrogram is required.</w:t>
            </w:r>
          </w:p>
        </w:tc>
        <w:tc>
          <w:tcPr>
            <w:tcW w:type="dxa" w:w="2448"/>
            <w:vAlign w:val="center"/>
            <w:tcMar>
              <w:top w:w="100" w:type="dxa"/>
              <w:bottom w:w="100" w:type="dxa"/>
              <w:left w:w="140" w:type="dxa"/>
              <w:right w:w="140" w:type="dxa"/>
            </w:tcMar>
          </w:tcPr>
          <w:p>
            <w:r>
              <w:t>Computationally heavy (O(N^2) memory, O(N^3) time); merge decisions are greedy and irreversible.</w:t>
            </w:r>
          </w:p>
        </w:tc>
      </w:tr>
      <w:tr>
        <w:trPr>
          <w:cantSplit/>
        </w:trPr>
        <w:tc>
          <w:tcPr>
            <w:tcW w:type="dxa" w:w="2160"/>
            <w:vAlign w:val="center"/>
            <w:tcMar>
              <w:top w:w="100" w:type="dxa"/>
              <w:bottom w:w="100" w:type="dxa"/>
              <w:left w:w="140" w:type="dxa"/>
              <w:right w:w="140" w:type="dxa"/>
            </w:tcMar>
            <w:shd w:fill="F2F4F4"/>
          </w:tcPr>
          <w:p>
            <w:r>
              <w:t>DBSCAN</w:t>
            </w:r>
          </w:p>
        </w:tc>
        <w:tc>
          <w:tcPr>
            <w:tcW w:type="dxa" w:w="2304"/>
            <w:vAlign w:val="center"/>
            <w:tcMar>
              <w:top w:w="100" w:type="dxa"/>
              <w:bottom w:w="100" w:type="dxa"/>
              <w:left w:w="140" w:type="dxa"/>
              <w:right w:w="140" w:type="dxa"/>
            </w:tcMar>
            <w:shd w:fill="F2F4F4"/>
          </w:tcPr>
          <w:p>
            <w:r>
              <w:t>Arbitrary non-convex shapes; density-connected manifolds.</w:t>
            </w:r>
          </w:p>
        </w:tc>
        <w:tc>
          <w:tcPr>
            <w:tcW w:type="dxa" w:w="2880"/>
            <w:vAlign w:val="center"/>
            <w:tcMar>
              <w:top w:w="100" w:type="dxa"/>
              <w:bottom w:w="100" w:type="dxa"/>
              <w:left w:w="140" w:type="dxa"/>
              <w:right w:w="140" w:type="dxa"/>
            </w:tcMar>
            <w:shd w:fill="F2F4F4"/>
          </w:tcPr>
          <w:p>
            <w:r>
              <w:t>Spatial geospatial data; GPS trajectory analysis; anomaly and fraud detection where noise isolation is critical.</w:t>
            </w:r>
          </w:p>
        </w:tc>
        <w:tc>
          <w:tcPr>
            <w:tcW w:type="dxa" w:w="2448"/>
            <w:vAlign w:val="center"/>
            <w:tcMar>
              <w:top w:w="100" w:type="dxa"/>
              <w:bottom w:w="100" w:type="dxa"/>
              <w:left w:w="140" w:type="dxa"/>
              <w:right w:w="140" w:type="dxa"/>
            </w:tcMar>
            <w:shd w:fill="F2F4F4"/>
          </w:tcPr>
          <w:p>
            <w:r>
              <w:t>Degrades on datasets with variable densities; sensitive to epsilon and MinPts hyperparameter tuning.</w:t>
            </w:r>
          </w:p>
        </w:tc>
      </w:tr>
      <w:tr>
        <w:trPr>
          <w:cantSplit/>
        </w:trPr>
        <w:tc>
          <w:tcPr>
            <w:tcW w:type="dxa" w:w="2160"/>
            <w:vAlign w:val="center"/>
            <w:tcMar>
              <w:top w:w="100" w:type="dxa"/>
              <w:bottom w:w="100" w:type="dxa"/>
              <w:left w:w="140" w:type="dxa"/>
              <w:right w:w="140" w:type="dxa"/>
            </w:tcMar>
          </w:tcPr>
          <w:p>
            <w:r>
              <w:t>Gaussian Mixture Models</w:t>
            </w:r>
          </w:p>
        </w:tc>
        <w:tc>
          <w:tcPr>
            <w:tcW w:type="dxa" w:w="2304"/>
            <w:vAlign w:val="center"/>
            <w:tcMar>
              <w:top w:w="100" w:type="dxa"/>
              <w:bottom w:w="100" w:type="dxa"/>
              <w:left w:w="140" w:type="dxa"/>
              <w:right w:w="140" w:type="dxa"/>
            </w:tcMar>
          </w:tcPr>
          <w:p>
            <w:r>
              <w:t>Ellipsoidal clusters with soft probabilistic boundaries.</w:t>
            </w:r>
          </w:p>
        </w:tc>
        <w:tc>
          <w:tcPr>
            <w:tcW w:type="dxa" w:w="2880"/>
            <w:vAlign w:val="center"/>
            <w:tcMar>
              <w:top w:w="100" w:type="dxa"/>
              <w:bottom w:w="100" w:type="dxa"/>
              <w:left w:w="140" w:type="dxa"/>
              <w:right w:w="140" w:type="dxa"/>
            </w:tcMar>
          </w:tcPr>
          <w:p>
            <w:r>
              <w:t>Overlapping clusters; generative data modeling; applications requiring posterior probability belongingness.</w:t>
            </w:r>
          </w:p>
        </w:tc>
        <w:tc>
          <w:tcPr>
            <w:tcW w:type="dxa" w:w="2448"/>
            <w:vAlign w:val="center"/>
            <w:tcMar>
              <w:top w:w="100" w:type="dxa"/>
              <w:bottom w:w="100" w:type="dxa"/>
              <w:left w:w="140" w:type="dxa"/>
              <w:right w:w="140" w:type="dxa"/>
            </w:tcMar>
          </w:tcPr>
          <w:p>
            <w:r>
              <w:t>Expectation-Maximization can get trapped in local singularities; requires covariance matrix estimation.</w:t>
            </w:r>
          </w:p>
        </w:tc>
      </w:tr>
    </w:tbl>
    <w:p>
      <w:pPr>
        <w:keepNext/>
        <w:spacing w:before="280" w:after="80"/>
      </w:pPr>
      <w:r>
        <w:rPr>
          <w:rFonts w:ascii="Times New Roman" w:hAnsi="Times New Roman"/>
          <w:b/>
          <w:color w:val="154360"/>
          <w:sz w:val="26"/>
        </w:rPr>
        <w:t>12. Areas for Further Research &amp; Algorithmic Improvements</w:t>
      </w:r>
    </w:p>
    <w:p>
      <w:pPr>
        <w:pStyle w:val="ListBullet"/>
        <w:spacing w:before="20" w:after="60" w:line="270" w:lineRule="exact"/>
        <w:jc w:val="both"/>
      </w:pPr>
      <w:r>
        <w:rPr>
          <w:rFonts w:ascii="Times New Roman" w:hAnsi="Times New Roman"/>
          <w:b/>
          <w:color w:val="1B263B"/>
          <w:sz w:val="21"/>
        </w:rPr>
        <w:t xml:space="preserve">1. HDBSCAN (Hierarchical Density-Based Clustering): </w:t>
      </w:r>
      <w:r>
        <w:rPr>
          <w:rFonts w:ascii="Times New Roman" w:hAnsi="Times New Roman"/>
          <w:color w:val="212121"/>
          <w:sz w:val="21"/>
        </w:rPr>
        <w:t>Extending DBSCAN with HDBSCAN, which converts DBSCAN into a hierarchical clustering algorithm to find clusters of varying densities automatically without specifying epsilon.</w:t>
      </w:r>
    </w:p>
    <w:p>
      <w:pPr>
        <w:pStyle w:val="ListBullet"/>
        <w:spacing w:before="20" w:after="60" w:line="270" w:lineRule="exact"/>
        <w:jc w:val="both"/>
      </w:pPr>
      <w:r>
        <w:rPr>
          <w:rFonts w:ascii="Times New Roman" w:hAnsi="Times New Roman"/>
          <w:b/>
          <w:color w:val="1B263B"/>
          <w:sz w:val="21"/>
        </w:rPr>
        <w:t xml:space="preserve">2. Deep Embedding Clustering (DEC): </w:t>
      </w:r>
      <w:r>
        <w:rPr>
          <w:rFonts w:ascii="Times New Roman" w:hAnsi="Times New Roman"/>
          <w:color w:val="212121"/>
          <w:sz w:val="21"/>
        </w:rPr>
        <w:t>Applying Deep Autoencoders to learn low-dimensional latent representations simultaneously with clustering objective optimization.</w:t>
      </w:r>
    </w:p>
    <w:p>
      <w:pPr>
        <w:pStyle w:val="ListBullet"/>
        <w:spacing w:before="20" w:after="60" w:line="270" w:lineRule="exact"/>
        <w:jc w:val="both"/>
      </w:pPr>
      <w:r>
        <w:rPr>
          <w:rFonts w:ascii="Times New Roman" w:hAnsi="Times New Roman"/>
          <w:b/>
          <w:color w:val="1B263B"/>
          <w:sz w:val="21"/>
        </w:rPr>
        <w:t xml:space="preserve">3. Spectral Clustering on Complex Manifolds: </w:t>
      </w:r>
      <w:r>
        <w:rPr>
          <w:rFonts w:ascii="Times New Roman" w:hAnsi="Times New Roman"/>
          <w:color w:val="212121"/>
          <w:sz w:val="21"/>
        </w:rPr>
        <w:t>Using Graph Laplacian spectral decomposition to cluster complex non-linear manifolds that fail under Euclidean distance.</w:t>
      </w:r>
    </w:p>
    <w:p>
      <w:pPr>
        <w:pStyle w:val="ListBullet"/>
        <w:spacing w:before="20" w:after="60" w:line="270" w:lineRule="exact"/>
        <w:jc w:val="both"/>
      </w:pPr>
      <w:r>
        <w:rPr>
          <w:rFonts w:ascii="Times New Roman" w:hAnsi="Times New Roman"/>
          <w:b/>
          <w:color w:val="1B263B"/>
          <w:sz w:val="21"/>
        </w:rPr>
        <w:t xml:space="preserve">4. High-Dimensional Dimensionality Reduction: </w:t>
      </w:r>
      <w:r>
        <w:rPr>
          <w:rFonts w:ascii="Times New Roman" w:hAnsi="Times New Roman"/>
          <w:color w:val="212121"/>
          <w:sz w:val="21"/>
        </w:rPr>
        <w:t>Benchmarking UMAP (Uniform Manifold Approximation and Projection) and t-SNE for pre-clustering dimensionality reduction on complex customer behavioral vectors.</w:t>
      </w:r>
    </w:p>
    <w:p>
      <w:pPr>
        <w:keepNext/>
        <w:spacing w:before="280" w:after="80"/>
      </w:pPr>
      <w:r>
        <w:rPr>
          <w:rFonts w:ascii="Times New Roman" w:hAnsi="Times New Roman"/>
          <w:b/>
          <w:color w:val="154360"/>
          <w:sz w:val="26"/>
        </w:rPr>
        <w:t>13. Conclusion</w:t>
      </w:r>
    </w:p>
    <w:p>
      <w:pPr>
        <w:spacing w:before="0" w:after="100" w:line="280" w:lineRule="exact"/>
        <w:jc w:val="both"/>
      </w:pPr>
      <w:r>
        <w:rPr>
          <w:rFonts w:ascii="Times New Roman" w:hAnsi="Times New Roman"/>
          <w:color w:val="212121"/>
          <w:sz w:val="22"/>
        </w:rPr>
        <w:t>In this practical assignment, three foundational clustering paradigms—Centroid-based (K-Means++), Connectivity-based (Hierarchical Agglomerative with Ward linkage), and Density-based (DBSCAN)—were successfully implemented, evaluated, and contrasted on the real-world Mall Customer Segmentation Dataset alongside Gaussian Mixture Models. Both the Elbow Method and Silhouette Analysis conclusively verified that K=5 represents the natural clustering structure, achieving a high Silhouette Score of 0.5844. DBSCAN demonstrated exceptional ability to isolate 27 peripheral noise outliers, boosting core silhouette quality to 0.6347. The resulting customer clusters provided actionable commercial segmentation profiles (Sensible, Impulsive, Standard, VIP Target, and Savers), confirming the practical utility of unsupervised learning in data-driven commercial strategy.</w:t>
      </w:r>
    </w:p>
    <w:p>
      <w:pPr>
        <w:keepNext/>
        <w:spacing w:before="280" w:after="80"/>
      </w:pPr>
      <w:r>
        <w:rPr>
          <w:rFonts w:ascii="Times New Roman" w:hAnsi="Times New Roman"/>
          <w:b/>
          <w:color w:val="154360"/>
          <w:sz w:val="26"/>
        </w:rPr>
        <w:t>14. References</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MacQueen, J. (1967). 'Some methods for classification and analysis of multivariate observations.' Proceedings of the Fifth Berkeley Symposium on Mathematical Statistics and Probability, 1(14), 281-297.</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Arthur, D., &amp; Vassilvitskii, S. (2007). 'k-means++: The advantages of careful seeding.' Proceedings of the Eighteenth Annual ACM-SIAM Symposium on Discrete Algorithms, 1027-1035.</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Ward, J. H. (1963). 'Hierarchical grouping to optimize an objective function.' Journal of the American Statistical Association, 58(301), 236-244.</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Ester, M., Kriegel, H. P., Sander, J., &amp; Xu, X. (1996). 'A density-based algorithm for discovering clusters in large spatial databases with noise.' KDD, 96(34), 226-231.</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Rousseeuw, P. J. (1987). 'Silhouettes: a graphical aid to the interpretation and validation of cluster analysis.' Journal of Computational and Applied Mathematics, 20, 53-65.</w:t>
      </w:r>
    </w:p>
    <w:p>
      <w:pPr>
        <w:pStyle w:val="ListBullet"/>
        <w:spacing w:before="20" w:after="60" w:line="270" w:lineRule="exact"/>
        <w:jc w:val="both"/>
      </w:pPr>
      <w:r>
        <w:rPr>
          <w:rFonts w:ascii="Times New Roman" w:hAnsi="Times New Roman"/>
          <w:b/>
          <w:color w:val="1B263B"/>
          <w:sz w:val="21"/>
        </w:rPr>
        <w:t xml:space="preserve">• </w:t>
      </w:r>
      <w:r>
        <w:rPr>
          <w:rFonts w:ascii="Times New Roman" w:hAnsi="Times New Roman"/>
          <w:color w:val="212121"/>
          <w:sz w:val="21"/>
        </w:rPr>
        <w:t>Davies, D. L., &amp; Bouldin, D. W. (1979). 'A cluster separation measure.' IEEE Transactions on Pattern Analysis and Machine Intelligence, (2), 224-227.</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