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Assignment 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eastAsia="zh-CN" w:bidi="ar"/>
        </w:rPr>
        <w:t>3</w:t>
      </w: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 xml:space="preserve"> Report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Data Mining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CSE 5334 Section 001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Student Name: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Ahir Kunjal (1001877263)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Sheth Devanshi (1001959019)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Gope Pankaj (1001990547)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Professor: Dr Elizabeth D Diaz</w:t>
      </w:r>
    </w:p>
    <w:p>
      <w:pPr>
        <w:keepNext w:val="0"/>
        <w:keepLines w:val="0"/>
        <w:widowControl/>
        <w:suppressLineNumbers w:val="0"/>
        <w:jc w:val="center"/>
      </w:pPr>
      <w:r>
        <w:rPr>
          <w:rFonts w:hint="default" w:ascii="Times New Roman" w:hAnsi="Times New Roman" w:eastAsia="SimSun" w:cs="Times New Roman"/>
          <w:b/>
          <w:bCs/>
          <w:color w:val="000000"/>
          <w:kern w:val="0"/>
          <w:sz w:val="36"/>
          <w:szCs w:val="36"/>
          <w:lang w:val="en-US" w:eastAsia="zh-CN" w:bidi="ar"/>
        </w:rPr>
        <w:t>Using Weka</w:t>
      </w:r>
    </w:p>
    <w:p/>
    <w:p/>
    <w:p/>
    <w:p/>
    <w:p/>
    <w:p/>
    <w:p/>
    <w:p/>
    <w:p/>
    <w:p/>
    <w:p>
      <w:r>
        <w:t>The screenshot of the small data set that we have formed is shown below:</w:t>
      </w:r>
    </w:p>
    <w:p>
      <w:pPr>
        <w:jc w:val="center"/>
      </w:pPr>
      <w:r>
        <w:drawing>
          <wp:inline distT="0" distB="0" distL="0" distR="0">
            <wp:extent cx="2762250" cy="1664970"/>
            <wp:effectExtent l="0" t="0" r="6350" b="11430"/>
            <wp:docPr id="1" name="Picture 1" descr="/Users/pankajgope/Desktop/Screen Shot 2022-08-06 at 4.20.25 PM.pngScreen Shot 2022-08-06 at 4.20.2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pankajgope/Desktop/Screen Shot 2022-08-06 at 4.20.25 PM.pngScreen Shot 2022-08-06 at 4.20.25 PM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66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The data set is about the</w:t>
      </w:r>
      <w:r>
        <w:rPr>
          <w:rFonts w:hint="default"/>
        </w:rPr>
        <w:t xml:space="preserve"> groceries taken from grocery store</w:t>
      </w:r>
      <w:r>
        <w:t>.</w:t>
      </w:r>
    </w:p>
    <w:p>
      <w:r>
        <w:t>The frequency of the items in the item sets is shown below:</w:t>
      </w:r>
    </w:p>
    <w:tbl>
      <w:tblPr>
        <w:tblStyle w:val="8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508"/>
        <w:gridCol w:w="4508"/>
      </w:tblGrid>
      <w:tr>
        <w:tc>
          <w:tcPr>
            <w:tcW w:w="4508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Item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b/>
                <w:bCs/>
              </w:rPr>
            </w:pPr>
            <w:r>
              <w:rPr>
                <w:b/>
                <w:bCs/>
              </w:rPr>
              <w:t>Frequency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Tropical Fruit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Butter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Pip fruit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vegetables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Cheese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Soda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Ramen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Horlicks</w:t>
            </w:r>
          </w:p>
        </w:tc>
        <w:tc>
          <w:tcPr>
            <w:tcW w:w="4508" w:type="dxa"/>
          </w:tcPr>
          <w:p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2</w:t>
            </w:r>
          </w:p>
        </w:tc>
      </w:tr>
    </w:tbl>
    <w:p/>
    <w:p>
      <w:r>
        <w:t>The support of an item is the frequency of that particular item in the transaction list.</w:t>
      </w:r>
    </w:p>
    <w:p>
      <w:r>
        <w:t>We can find the commonly bought together items by setting a threshold on the support. If the support threshold for an item is 50% or 0.5 it means that the item has occurred in half of the total transactions of the dataset.</w:t>
      </w:r>
    </w:p>
    <w:p>
      <w:pPr>
        <w:rPr>
          <w:rFonts w:eastAsiaTheme="minorEastAsia"/>
        </w:rPr>
      </w:pPr>
      <m:oMathPara>
        <m:oMath>
          <m:r>
            <m:rPr/>
            <w:rPr>
              <w:rFonts w:ascii="Cambria Math" w:hAnsi="Cambria Math"/>
            </w:rPr>
            <m:t>Support tℎresℎold=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m:rPr/>
                <w:rPr>
                  <w:rFonts w:ascii="Cambria Math" w:hAnsi="Cambria Math"/>
                </w:rPr>
                <m:t>support (frequency)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m:rPr/>
                <w:rPr>
                  <w:rFonts w:ascii="Cambria Math" w:hAnsi="Cambria Math"/>
                </w:rPr>
                <m:t>total transactions</m:t>
              </m:r>
              <m:ctrlPr>
                <w:rPr>
                  <w:rFonts w:ascii="Cambria Math" w:hAnsi="Cambria Math"/>
                  <w:i/>
                </w:rPr>
              </m:ctrlPr>
            </m:den>
          </m:f>
        </m:oMath>
      </m:oMathPara>
    </w:p>
    <w:p>
      <w:pPr>
        <w:rPr>
          <w:rFonts w:eastAsiaTheme="minorEastAsia"/>
        </w:rPr>
      </w:pPr>
      <w:r>
        <w:rPr>
          <w:rFonts w:eastAsiaTheme="minorEastAsia"/>
        </w:rPr>
        <w:t>The maximum value of the support threshold can be 1 which means that the item exists in all the transactions. The support for every individual item is shown below: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Tropical Fruit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5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83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Butter</m:t>
            </m:r>
            <m:r>
              <m:rPr/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</w:p>
    <w:p>
      <w:pPr>
        <w:rPr>
          <w:rFonts w:hint="default"/>
        </w:rPr>
      </w:pPr>
      <m:oMath>
        <m:r>
          <m:rPr/>
          <w:rPr>
            <w:rFonts w:ascii="Cambria Math" w:hAnsi="Cambria Math"/>
          </w:rPr>
          <m:t>Support tℎresℎold (</m:t>
        </m:r>
        <m:r>
          <m:rPr/>
          <w:rPr>
            <w:rFonts w:hint="default" w:ascii="DejaVu Math TeX Gyre" w:hAnsi="DejaVu Math TeX Gyre"/>
          </w:rPr>
          <m:t>Pip Fruit</m:t>
        </m:r>
        <m:r>
          <m:rPr/>
          <w:rPr>
            <w:rFonts w:ascii="Cambria Math" w:hAnsi="Cambria Math"/>
          </w:rPr>
          <m:t>)=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50</w:t>
      </w:r>
    </w:p>
    <w:p>
      <w:pPr>
        <w:rPr>
          <w:rFonts w:hint="default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vegetables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16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66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Ramen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Horlicks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hint="default" w:ascii="DejaVu Math TeX Gyre" w:hAnsi="DejaVu Math TeX Gyre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  <w:r>
        <w:rPr>
          <w:rFonts w:eastAsiaTheme="minorEastAsia"/>
        </w:rPr>
        <w:t>If we keep the support as S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= 0.</w:t>
      </w:r>
      <w:r>
        <w:rPr>
          <w:rFonts w:hint="default" w:eastAsiaTheme="minorEastAsia"/>
        </w:rPr>
        <w:t>1</w:t>
      </w:r>
      <w:r>
        <w:rPr>
          <w:rFonts w:eastAsiaTheme="minorEastAsia"/>
        </w:rPr>
        <w:t xml:space="preserve"> and confidence as C</w:t>
      </w:r>
      <w:r>
        <w:rPr>
          <w:rFonts w:eastAsiaTheme="minorEastAsia"/>
          <w:vertAlign w:val="subscript"/>
        </w:rPr>
        <w:t>1</w:t>
      </w:r>
      <w:r>
        <w:rPr>
          <w:rFonts w:eastAsiaTheme="minorEastAsia"/>
        </w:rPr>
        <w:t xml:space="preserve"> = 0.</w:t>
      </w:r>
      <w:r>
        <w:rPr>
          <w:rFonts w:hint="default" w:eastAsiaTheme="minorEastAsia"/>
        </w:rPr>
        <w:t>7</w:t>
      </w:r>
      <w:r>
        <w:rPr>
          <w:rFonts w:eastAsiaTheme="minorEastAsia"/>
        </w:rPr>
        <w:t xml:space="preserve">, then items </w:t>
      </w:r>
      <w:r>
        <w:rPr>
          <w:rFonts w:hint="default" w:eastAsiaTheme="minorEastAsia"/>
        </w:rPr>
        <w:t>Cheese and butter</w:t>
      </w:r>
      <w:r>
        <w:rPr>
          <w:rFonts w:eastAsiaTheme="minorEastAsia"/>
        </w:rPr>
        <w:t xml:space="preserve"> are selected as they have a support threshold of more than 0.6.</w:t>
      </w:r>
    </w:p>
    <w:p>
      <w:pPr>
        <w:rPr>
          <w:rFonts w:eastAsiaTheme="minorEastAsia"/>
        </w:rPr>
      </w:pPr>
      <w:r>
        <w:rPr>
          <w:rFonts w:eastAsiaTheme="minorEastAsia"/>
        </w:rPr>
        <w:t>Now we will pair two of them together and find the combined support.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cℎeese, 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butter, 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 xml:space="preserve">cℎeese </m:t>
            </m:r>
            <m:r>
              <m:rPr/>
              <w:rPr>
                <w:rFonts w:ascii="Cambria Math" w:hAnsi="Cambria Math"/>
              </w:rPr>
              <m:t>an</m:t>
            </m:r>
            <m:r>
              <m:rPr/>
              <w:rPr>
                <w:rFonts w:hint="default" w:ascii="DejaVu Math TeX Gyre" w:hAnsi="DejaVu Math TeX Gyre"/>
              </w:rPr>
              <m:t>d 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=0.5</m:t>
        </m:r>
      </m:oMath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=0.5</m:t>
        </m:r>
      </m:oMath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</m:t>
        </m:r>
      </m:oMath>
      <w:r>
        <m:rPr/>
        <w:rPr>
          <w:rFonts w:hint="default" w:ascii="Times New Roman" w:hAnsi="Cambria Math"/>
          <w:i w:val="0"/>
        </w:rPr>
        <w:t xml:space="preserve"> </w:t>
      </w:r>
      <w:r>
        <w:rPr>
          <w:rFonts w:eastAsiaTheme="minorEastAsia"/>
        </w:rPr>
        <w:t xml:space="preserve"> </w:t>
      </w:r>
      <m:oMath>
        <m:r>
          <m:rPr/>
          <w:rPr>
            <w:rFonts w:ascii="Cambria Math" w:hAnsi="Cambria Math"/>
          </w:rPr>
          <m:t>0.</m:t>
        </m:r>
        <m:r>
          <m:rPr/>
          <w:rPr>
            <w:rFonts w:hint="default" w:ascii="DejaVu Math TeX Gyre" w:hAnsi="DejaVu Math TeX Gyre"/>
          </w:rPr>
          <m:t>66</m:t>
        </m:r>
      </m:oMath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  <m:r>
          <m:rPr/>
          <w:rPr>
            <w:rFonts w:hint="default" w:ascii="DejaVu Math TeX Gyre" w:hAnsi="DejaVu Math TeX Gyre"/>
          </w:rPr>
          <m:t>66</m:t>
        </m:r>
      </m:oMath>
      <w:r>
        <w:rPr>
          <w:rFonts w:eastAsiaTheme="minorEastAsia"/>
        </w:rPr>
        <w:t xml:space="preserve"> </w:t>
      </w:r>
    </w:p>
    <w:p>
      <w:pPr>
        <w:rPr>
          <w:rFonts w:hint="default" w:eastAsiaTheme="minorEastAsia"/>
        </w:rPr>
      </w:pPr>
    </w:p>
    <w:p>
      <w:pPr>
        <w:rPr>
          <w:rFonts w:eastAsiaTheme="minorEastAsia"/>
        </w:rPr>
      </w:pPr>
      <w:r>
        <w:rPr>
          <w:rFonts w:eastAsiaTheme="minorEastAsia"/>
        </w:rPr>
        <w:t>We can see that the support threshold of the</w:t>
      </w:r>
      <w:r>
        <w:rPr>
          <w:rFonts w:hint="default" w:eastAsiaTheme="minorEastAsia"/>
        </w:rPr>
        <w:t xml:space="preserve"> cheese and butter</w:t>
      </w:r>
      <w:r>
        <w:rPr>
          <w:rFonts w:eastAsiaTheme="minorEastAsia"/>
        </w:rPr>
        <w:t xml:space="preserve"> pair and the </w:t>
      </w:r>
      <w:r>
        <w:rPr>
          <w:rFonts w:hint="default" w:eastAsiaTheme="minorEastAsia"/>
        </w:rPr>
        <w:t xml:space="preserve">butter </w:t>
      </w:r>
      <w:r>
        <w:rPr>
          <w:rFonts w:eastAsiaTheme="minorEastAsia"/>
        </w:rPr>
        <w:t xml:space="preserve">and </w:t>
      </w:r>
      <w:r>
        <w:rPr>
          <w:rFonts w:hint="default" w:eastAsiaTheme="minorEastAsia"/>
        </w:rPr>
        <w:t xml:space="preserve">soda </w:t>
      </w:r>
      <w:r>
        <w:rPr>
          <w:rFonts w:eastAsiaTheme="minorEastAsia"/>
        </w:rPr>
        <w:t xml:space="preserve">pair is less than the set threshold value of 0.6 hence they are not considered. </w:t>
      </w:r>
    </w:p>
    <w:p>
      <w:pPr>
        <w:rPr>
          <w:rFonts w:eastAsiaTheme="minorEastAsia"/>
        </w:rPr>
      </w:pPr>
      <w:r>
        <w:rPr>
          <w:rFonts w:eastAsiaTheme="minorEastAsia"/>
        </w:rPr>
        <w:t>Hence, we conclude that only the items (</w:t>
      </w:r>
      <w:r>
        <w:rPr>
          <w:rFonts w:hint="default" w:eastAsiaTheme="minorEastAsia"/>
        </w:rPr>
        <w:t>cheese</w:t>
      </w:r>
      <w:r>
        <w:rPr>
          <w:rFonts w:eastAsiaTheme="minorEastAsia"/>
        </w:rPr>
        <w:t xml:space="preserve"> and </w:t>
      </w:r>
      <w:r>
        <w:rPr>
          <w:rFonts w:hint="default" w:eastAsiaTheme="minorEastAsia"/>
        </w:rPr>
        <w:t>butter</w:t>
      </w:r>
      <w:r>
        <w:rPr>
          <w:rFonts w:eastAsiaTheme="minorEastAsia"/>
        </w:rPr>
        <w:t>) are frequent.</w:t>
      </w:r>
    </w:p>
    <w:p>
      <w:r>
        <w:t>Now we will generate the association rule:</w:t>
      </w:r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/>
          </w:rPr>
          <m:t xml:space="preserve">confidence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cℎeese,butter</m:t>
            </m:r>
            <m:r>
              <m:rPr/>
              <w:rPr>
                <w:rFonts w:ascii="Cambria Math" w:hAnsi="Cambria Math"/>
              </w:rPr>
              <m:t>→</m:t>
            </m:r>
            <m:r>
              <m:rPr/>
              <w:rPr>
                <w:rFonts w:hint="default" w:ascii="DejaVu Math TeX Gyre" w:hAnsi="DejaVu Math TeX Gyre"/>
              </w:rPr>
              <m:t>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support (</m:t>
            </m:r>
            <m:r>
              <m:rPr/>
              <w:rPr>
                <w:rFonts w:hint="default" w:ascii="DejaVu Math TeX Gyre" w:hAnsi="DejaVu Math TeX Gyre"/>
              </w:rPr>
              <m:t>cℎeese</m:t>
            </m:r>
            <m:r>
              <m:rPr/>
              <w:rPr>
                <w:rFonts w:ascii="Cambria Math" w:hAnsi="Cambria Math"/>
              </w:rPr>
              <m:t xml:space="preserve"> and </m:t>
            </m:r>
            <m:r>
              <m:rPr/>
              <w:rPr>
                <w:rFonts w:hint="default" w:ascii="DejaVu Math TeX Gyre" w:hAnsi="DejaVu Math TeX Gyre"/>
              </w:rPr>
              <m:t>butter</m:t>
            </m:r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support (</m:t>
            </m:r>
            <m:r>
              <m:rPr/>
              <w:rPr>
                <w:rFonts w:hint="default" w:ascii="DejaVu Math TeX Gyre" w:hAnsi="DejaVu Math TeX Gyre"/>
              </w:rPr>
              <m:t>soda</m:t>
            </m:r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</m:t>
        </m:r>
      </m:oMath>
      <w:r>
        <m:rPr/>
        <w:rPr>
          <w:rFonts w:hint="default" w:ascii="Times New Roman" w:hAnsi="Cambria Math"/>
          <w:i w:val="0"/>
        </w:rPr>
        <w:t xml:space="preserve"> </w:t>
      </w:r>
      <m:oMath>
        <m:r>
          <m:rPr/>
          <w:rPr>
            <w:rFonts w:hint="default" w:ascii="DejaVu Math TeX Gyre" w:hAnsi="DejaVu Math TeX Gyre"/>
          </w:rPr>
          <m:t>1.0</m:t>
        </m:r>
      </m:oMath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confidence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 xml:space="preserve">butter,soda </m:t>
            </m:r>
            <m:r>
              <m:rPr/>
              <w:rPr>
                <w:rFonts w:ascii="Cambria Math" w:hAnsi="Cambria Math"/>
              </w:rPr>
              <m:t>→</m:t>
            </m:r>
            <m:r>
              <m:rPr/>
              <w:rPr>
                <w:rFonts w:hint="default" w:ascii="DejaVu Math TeX Gyre" w:hAnsi="DejaVu Math TeX Gyre"/>
              </w:rPr>
              <m:t xml:space="preserve"> cℎeese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ascii="Cambria Math" w:hAnsi="Cambria Math"/>
              </w:rPr>
              <m:t>support (</m:t>
            </m:r>
            <m:r>
              <m:rPr/>
              <w:rPr>
                <w:rFonts w:hint="default" w:ascii="DejaVu Math TeX Gyre" w:hAnsi="DejaVu Math TeX Gyre"/>
              </w:rPr>
              <m:t>butter</m:t>
            </m:r>
            <m:r>
              <m:rPr/>
              <w:rPr>
                <w:rFonts w:ascii="Cambria Math" w:hAnsi="Cambria Math"/>
              </w:rPr>
              <m:t xml:space="preserve"> and </m:t>
            </m:r>
            <m:r>
              <m:rPr/>
              <w:rPr>
                <w:rFonts w:hint="default" w:ascii="DejaVu Math TeX Gyre" w:hAnsi="DejaVu Math TeX Gyre"/>
              </w:rPr>
              <m:t>soda</m:t>
            </m:r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support (</m:t>
            </m:r>
            <m:r>
              <m:rPr/>
              <w:rPr>
                <w:rFonts w:hint="default" w:ascii="DejaVu Math TeX Gyre" w:hAnsi="DejaVu Math TeX Gyre"/>
              </w:rPr>
              <m:t>cℎeese</m:t>
            </m:r>
            <m:r>
              <m:rPr/>
              <w:rPr>
                <w:rFonts w:ascii="Cambria Math" w:hAnsi="Cambria Math"/>
              </w:rPr>
              <m:t>)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</m:t>
        </m:r>
        <m:r>
          <m:rPr/>
          <w:rPr>
            <w:rFonts w:hint="default" w:ascii="DejaVu Math TeX Gyre" w:hAnsi="DejaVu Math TeX Gyre"/>
          </w:rPr>
          <m:t xml:space="preserve"> 1.0</m:t>
        </m:r>
      </m:oMath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w:r>
        <w:rPr>
          <w:rFonts w:eastAsiaTheme="minorEastAsia"/>
        </w:rPr>
        <w:t>Since both the association rules are above the confidence level of 0.8, we can say that they are strong confidence rules.</w:t>
      </w:r>
    </w:p>
    <w:p>
      <w:pPr>
        <w:rPr>
          <w:rFonts w:hint="default" w:eastAsiaTheme="minorEastAsia"/>
        </w:rPr>
      </w:pPr>
      <w:r>
        <w:rPr>
          <w:rFonts w:hint="default" w:eastAsiaTheme="minorEastAsia"/>
        </w:rPr>
        <w:drawing>
          <wp:inline distT="0" distB="0" distL="114300" distR="114300">
            <wp:extent cx="4574540" cy="5079365"/>
            <wp:effectExtent l="0" t="0" r="22860" b="635"/>
            <wp:docPr id="951" name="Picture 951" descr="Screen Shot 2022-08-06 at 6.08.3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" name="Picture 951" descr="Screen Shot 2022-08-06 at 6.08.3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454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</w:rPr>
      </w:pPr>
      <w:r>
        <w:rPr>
          <w:rFonts w:hint="default" w:eastAsiaTheme="minorEastAsia"/>
        </w:rPr>
        <w:drawing>
          <wp:inline distT="0" distB="0" distL="114300" distR="114300">
            <wp:extent cx="3987800" cy="2654300"/>
            <wp:effectExtent l="0" t="0" r="0" b="12700"/>
            <wp:docPr id="952" name="Picture 952" descr="Screen Shot 2022-08-06 at 6.09.55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" name="Picture 952" descr="Screen Shot 2022-08-06 at 6.09.55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-15875</wp:posOffset>
                </wp:positionH>
                <wp:positionV relativeFrom="paragraph">
                  <wp:posOffset>87630</wp:posOffset>
                </wp:positionV>
                <wp:extent cx="6305550" cy="0"/>
                <wp:effectExtent l="0" t="0" r="0" b="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3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.25pt;margin-top:6.9pt;height:0pt;width:496.5pt;z-index:251659264;mso-width-relative:page;mso-height-relative:page;" filled="f" stroked="t" coordsize="21600,21600" o:gfxdata="UEsFBgAAAAAAAAAAAAAAAAAAAAAAAFBLAwQKAAAAAACHTuJAAAAAAAAAAAAAAAAABAAAAGRycy9Q&#10;SwMEFAAAAAgAh07iQNEVncDWAAAACAEAAA8AAABkcnMvZG93bnJldi54bWxNj8FOwzAQRO9I/IO1&#10;SNxaO0GNmhCnUpE4cEGl5QA3N94mKfE6xG5a/p5FHOC4M6PZN+Xq4nox4Rg6TxqSuQKBVHvbUaPh&#10;dfc4W4II0ZA1vSfU8IUBVtX1VWkK68/0gtM2NoJLKBRGQxvjUEgZ6hadCXM/ILF38KMzkc+xkXY0&#10;Zy53vUyVyqQzHfGH1gz40GL9sT05DbtssVnGZPP0qd7f1nmW4nFaP2t9e5OoexARL/EvDD/4jA4V&#10;M+39iWwQvYZZuuAk63e8gP08VyzsfwVZlfL/gOobUEsDBBQAAAAIAIdO4kBQALE41wEAALQDAAAO&#10;AAAAZHJzL2Uyb0RvYy54bWytU8tu2zAQvBfIPxC8x1IUOzUEyznYSC9FayDtB9AUJRHgC7uMZf99&#10;l5TipOklh+pALfcxyxkuN49na9hJAWrvGn63KDlTTvpWu77hv3893a45wyhcK4x3quEXhfxxe/Nl&#10;M4ZaVX7wplXACMRhPYaGDzGGuihQDsoKXPigHAU7D1ZE2kJftCBGQremqMryoRg9tAG8VIjk3U9B&#10;PiPCZwB912mp9l6+WOXihArKiEiUcNAB+TaftuuUjD+7DlVkpuHENOaVmpB9TGux3Yi6BxEGLecj&#10;iM8c4QMnK7SjpleovYiCvYD+B8pqCR59FxfS22IikhUhFnflB22eBxFU5kJSY7iKjv8PVv44HYDp&#10;tuEVZ05YuvDnCEL3Q2Q77xwJ6IFVSacxYE3pO3eAeYfhAIn0uQOb/kSHnbO2l6u26hyZJOfDfbm6&#10;X684k6+x4q0wAMZvyluWjIYb7RJtUYvTd4zUjFJfU5Lb+SdtTL4649iYwFd0oVLQOHY0BmTaQJTQ&#10;9ZwJ09OcywgZEb3RbapOOAj9cWeAnQRNx3L5tdotE1Hq9ldaar0XOEx5OTTNjdWRnoLRtuHrMn1z&#10;tXEEkuSaBErW0beXrFv202XmNvPgpWl5v8/Vb49t+w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WAAAAZHJzL1BLAQIUABQAAAAIAIdO4kDR&#10;FZ3A1gAAAAgBAAAPAAAAAAAAAAEAIAAAADgAAABkcnMvZG93bnJldi54bWxQSwECFAAUAAAACACH&#10;TuJAUACxONcBAAC0AwAADgAAAAAAAAABACAAAAA7AQAAZHJzL2Uyb0RvYy54bWxQSwUGAAAAAAYA&#10;BgBZAQAAhAUAAAAA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  <w:r>
        <w:rPr>
          <w:rFonts w:eastAsiaTheme="minorEastAsia"/>
        </w:rPr>
        <w:t>Similarly solving for different value of support S</w:t>
      </w:r>
      <w:r>
        <w:rPr>
          <w:rFonts w:eastAsiaTheme="minorEastAsia"/>
          <w:sz w:val="28"/>
          <w:szCs w:val="28"/>
          <w:vertAlign w:val="subscript"/>
        </w:rPr>
        <w:t>2</w:t>
      </w:r>
      <w:r>
        <w:rPr>
          <w:rFonts w:eastAsiaTheme="minorEastAsia"/>
          <w:sz w:val="28"/>
          <w:szCs w:val="28"/>
        </w:rPr>
        <w:t xml:space="preserve"> = </w:t>
      </w:r>
      <w:r>
        <w:rPr>
          <w:rFonts w:eastAsiaTheme="minorEastAsia"/>
        </w:rPr>
        <w:t>0.</w:t>
      </w:r>
      <w:r>
        <w:rPr>
          <w:rFonts w:hint="default" w:eastAsiaTheme="minorEastAsia"/>
        </w:rPr>
        <w:t>4</w:t>
      </w:r>
      <w:r>
        <w:rPr>
          <w:rFonts w:eastAsiaTheme="minorEastAsia"/>
        </w:rPr>
        <w:t xml:space="preserve"> and confidence C</w:t>
      </w:r>
      <w:r>
        <w:rPr>
          <w:rFonts w:eastAsiaTheme="minorEastAsia"/>
          <w:vertAlign w:val="subscript"/>
        </w:rPr>
        <w:t>2</w:t>
      </w:r>
      <w:r>
        <w:rPr>
          <w:rFonts w:eastAsiaTheme="minorEastAsia"/>
        </w:rPr>
        <w:t xml:space="preserve"> = 0.7 </w:t>
      </w:r>
    </w:p>
    <w:p>
      <w:pPr>
        <m:rPr/>
        <w:rPr>
          <w:rFonts w:hAnsi="Cambria Math"/>
          <w:i w:val="0"/>
        </w:rPr>
      </w:pP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 and 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  <m:r>
          <m:rPr/>
          <w:rPr>
            <w:rFonts w:hint="default" w:ascii="DejaVu Math TeX Gyre" w:hAnsi="DejaVu Math TeX Gyre"/>
          </w:rPr>
          <m:t>5</m:t>
        </m:r>
      </m:oMath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w:rPr>
          <w:rFonts w:hint="default" w:ascii="Times New Roman" w:hAnsi="Cambria Math"/>
          <w:i w:val="0"/>
        </w:rPr>
        <w:t>667</w:t>
      </w:r>
      <w:r>
        <w:rPr>
          <w:rFonts w:eastAsiaTheme="minorEastAsia"/>
        </w:rPr>
        <w:t xml:space="preserve"> </w:t>
      </w:r>
    </w:p>
    <w:p>
      <w:pPr>
        <w:rPr>
          <w:rFonts w:hint="default" w:ascii="Times New Roman" w:hAnsi="Cambria Math"/>
          <w:i w:val="0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w:rPr>
          <w:rFonts w:hint="default" w:ascii="Times New Roman" w:hAnsi="Cambria Math"/>
          <w:i w:val="0"/>
        </w:rPr>
        <w:t>667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w:rPr>
          <w:rFonts w:hint="default" w:ascii="Times New Roman" w:hAnsi="Cambria Math"/>
          <w:i w:val="0"/>
        </w:rPr>
        <w:t>5</w:t>
      </w:r>
    </w:p>
    <w:p>
      <w:pPr>
        <w:rPr>
          <w:rFonts w:eastAsiaTheme="minorEastAsia"/>
        </w:rPr>
      </w:pPr>
    </w:p>
    <w:p>
      <w:pPr>
        <w:ind w:firstLine="720" w:firstLineChars="0"/>
        <w:rPr>
          <w:rFonts w:eastAsiaTheme="minorEastAsia"/>
        </w:rPr>
      </w:pPr>
      <w:r>
        <w:rPr>
          <w:rFonts w:eastAsiaTheme="minorEastAsia"/>
        </w:rPr>
        <w:t>Since only the combination of (mobile cover, mobile and earphones) has support equal to 0.5.</w:t>
      </w:r>
    </w:p>
    <w:p>
      <w:pPr>
        <w:rPr>
          <w:rFonts w:eastAsiaTheme="minorEastAsia"/>
        </w:rPr>
      </w:pPr>
      <w:r>
        <w:rPr>
          <w:rFonts w:eastAsiaTheme="minorEastAsia"/>
        </w:rPr>
        <w:t>Now we will generate the association rules.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Rule 1: </w:t>
      </w:r>
    </w:p>
    <w:p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cℎeese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  <m:r>
            <m:rPr/>
            <w:rPr>
              <w:rFonts w:ascii="Cambria Math" w:hAnsi="Cambria Math" w:eastAsiaTheme="minorEastAsia"/>
            </w:rPr>
            <m:t xml:space="preserve"> ⇒</m:t>
          </m:r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soda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</m:oMath>
      </m:oMathPara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 w:eastAsiaTheme="minorEastAsia"/>
          </w:rPr>
          <m:t>Confidence=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m:rPr/>
              <w:rPr>
                <w:rFonts w:ascii="Cambria Math" w:hAnsi="Cambria Math" w:eastAsiaTheme="minorEastAsia"/>
              </w:rPr>
              <m:t>Support</m:t>
            </m:r>
            <m:d>
              <m:dPr>
                <m:ctrlPr>
                  <w:rPr>
                    <w:rFonts w:ascii="Cambria Math" w:hAnsi="Cambria Math" w:eastAsiaTheme="minorEastAsia"/>
                    <w:i/>
                  </w:rPr>
                </m:ctrlPr>
              </m:dPr>
              <m:e>
                <m:r>
                  <m:rPr/>
                  <w:rPr>
                    <w:rFonts w:ascii="Cambria Math" w:hAnsi="Cambria Math" w:eastAsiaTheme="minorEastAsia"/>
                  </w:rPr>
                  <m:t xml:space="preserve"> </m:t>
                </m:r>
                <m:r>
                  <m:rPr/>
                  <w:rPr>
                    <w:rFonts w:hint="default" w:ascii="DejaVu Math TeX Gyre" w:hAnsi="DejaVu Math TeX Gyre" w:eastAsiaTheme="minorEastAsia"/>
                  </w:rPr>
                  <m:t>cℎeese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m:rPr/>
              <w:rPr>
                <w:rFonts w:ascii="Cambria Math" w:hAnsi="Cambria Math" w:eastAsiaTheme="minorEastAsia"/>
              </w:rPr>
              <m:t>Support (</m:t>
            </m:r>
            <m:r>
              <m:rPr/>
              <w:rPr>
                <w:rFonts w:hint="default" w:ascii="DejaVu Math TeX Gyre" w:hAnsi="DejaVu Math TeX Gyre" w:eastAsiaTheme="minorEastAsia"/>
              </w:rPr>
              <m:t>soda</m:t>
            </m:r>
            <m:r>
              <m:rPr/>
              <w:rPr>
                <w:rFonts w:ascii="Cambria Math" w:hAnsi="Cambria Math" w:eastAsiaTheme="minorEastAsia"/>
              </w:rPr>
              <m:t>)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</w:rPr>
          <m:t>=</m:t>
        </m:r>
        <m:r>
          <m:rPr/>
          <w:rPr>
            <w:rFonts w:hint="default" w:ascii="DejaVu Math TeX Gyre" w:hAnsi="DejaVu Math TeX Gyre" w:eastAsiaTheme="minorEastAsia"/>
          </w:rPr>
          <m:t xml:space="preserve"> </m:t>
        </m:r>
      </m:oMath>
      <w:r>
        <w:rPr>
          <w:rFonts w:eastAsiaTheme="minorEastAsia"/>
        </w:rPr>
        <w:t>0</w:t>
      </w:r>
      <w:r>
        <w:rPr>
          <w:rFonts w:hint="default" w:eastAsiaTheme="minorEastAsia"/>
        </w:rPr>
        <w:t>.75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Rule 2: </w:t>
      </w:r>
    </w:p>
    <w:p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soda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  <m:r>
            <m:rPr/>
            <w:rPr>
              <w:rFonts w:ascii="Cambria Math" w:hAnsi="Cambria Math" w:eastAsiaTheme="minorEastAsia"/>
            </w:rPr>
            <m:t xml:space="preserve"> ⇒</m:t>
          </m:r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cℎeese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</m:oMath>
      </m:oMathPara>
    </w:p>
    <w:p>
      <w:pPr>
        <w:rPr>
          <w:rFonts w:eastAsiaTheme="minorEastAsia"/>
        </w:rPr>
      </w:pPr>
      <m:oMath>
        <m:r>
          <m:rPr/>
          <w:rPr>
            <w:rFonts w:ascii="Cambria Math" w:hAnsi="Cambria Math" w:eastAsiaTheme="minorEastAsia"/>
          </w:rPr>
          <m:t>Confidence=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m:rPr/>
              <w:rPr>
                <w:rFonts w:ascii="Cambria Math" w:hAnsi="Cambria Math" w:eastAsiaTheme="minorEastAsia"/>
              </w:rPr>
              <m:t>Support</m:t>
            </m:r>
            <m:d>
              <m:dPr>
                <m:ctrlPr>
                  <w:rPr>
                    <w:rFonts w:ascii="Cambria Math" w:hAnsi="Cambria Math" w:eastAsiaTheme="minorEastAsia"/>
                    <w:i/>
                  </w:rPr>
                </m:ctrlPr>
              </m:dPr>
              <m:e>
                <m:r>
                  <m:rPr/>
                  <w:rPr>
                    <w:rFonts w:ascii="Cambria Math" w:hAnsi="Cambria Math" w:eastAsiaTheme="minorEastAsia"/>
                  </w:rPr>
                  <m:t xml:space="preserve"> </m:t>
                </m:r>
                <m:r>
                  <m:rPr/>
                  <w:rPr>
                    <w:rFonts w:hint="default" w:ascii="DejaVu Math TeX Gyre" w:hAnsi="DejaVu Math TeX Gyre" w:eastAsiaTheme="minorEastAsia"/>
                  </w:rPr>
                  <m:t>soda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m:rPr/>
              <w:rPr>
                <w:rFonts w:ascii="Cambria Math" w:hAnsi="Cambria Math" w:eastAsiaTheme="minorEastAsia"/>
              </w:rPr>
              <m:t>Support (</m:t>
            </m:r>
            <m:r>
              <m:rPr/>
              <w:rPr>
                <w:rFonts w:hint="default" w:ascii="DejaVu Math TeX Gyre" w:hAnsi="DejaVu Math TeX Gyre" w:eastAsiaTheme="minorEastAsia"/>
              </w:rPr>
              <m:t>cℎeese</m:t>
            </m:r>
            <m:r>
              <m:rPr/>
              <w:rPr>
                <w:rFonts w:ascii="Cambria Math" w:hAnsi="Cambria Math" w:eastAsiaTheme="minorEastAsia"/>
              </w:rPr>
              <m:t>)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</w:rPr>
          <m:t>=</m:t>
        </m:r>
      </m:oMath>
      <w:r>
        <w:rPr>
          <w:rFonts w:eastAsiaTheme="minorEastAsia"/>
        </w:rPr>
        <w:t xml:space="preserve"> 1.0</w:t>
      </w:r>
    </w:p>
    <w:p>
      <w:pPr>
        <w:rPr>
          <w:rFonts w:eastAsiaTheme="minorEastAsia"/>
        </w:rPr>
      </w:pPr>
      <w:r>
        <w:rPr>
          <w:rFonts w:eastAsiaTheme="minorEastAsia"/>
        </w:rPr>
        <w:t>Hence, we can say that the Rule 2</w:t>
      </w:r>
      <w:r>
        <w:rPr>
          <w:rFonts w:hint="default" w:eastAsiaTheme="minorEastAsia"/>
        </w:rPr>
        <w:t>is</w:t>
      </w:r>
      <w:r>
        <w:rPr>
          <w:rFonts w:eastAsiaTheme="minorEastAsia"/>
        </w:rPr>
        <w:t xml:space="preserve"> the strong association rules.</w:t>
      </w:r>
    </w:p>
    <w:p>
      <w:pPr>
        <w:rPr>
          <w:rFonts w:eastAsiaTheme="minorEastAsia"/>
        </w:rPr>
      </w:pPr>
    </w:p>
    <w:p>
      <w:pPr>
        <w:rPr>
          <w:rFonts w:hint="default" w:eastAsiaTheme="minorEastAsia"/>
        </w:rPr>
      </w:pPr>
      <w:r>
        <w:rPr>
          <w:rFonts w:hint="default" w:eastAsiaTheme="minorEastAsia"/>
        </w:rPr>
        <w:drawing>
          <wp:inline distT="0" distB="0" distL="114300" distR="114300">
            <wp:extent cx="3114675" cy="2881630"/>
            <wp:effectExtent l="0" t="0" r="9525" b="13970"/>
            <wp:docPr id="953" name="Picture 953" descr="Screen Shot 2022-08-06 at 6.33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" name="Picture 953" descr="Screen Shot 2022-08-06 at 6.33.17 PM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</w:rPr>
      </w:pPr>
      <w:r>
        <w:rPr>
          <w:rFonts w:eastAsiaTheme="minor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align>left</wp:align>
                </wp:positionH>
                <wp:positionV relativeFrom="paragraph">
                  <wp:posOffset>102235</wp:posOffset>
                </wp:positionV>
                <wp:extent cx="6305550" cy="0"/>
                <wp:effectExtent l="0" t="0" r="0" b="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0538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top:8.05pt;height:0pt;width:496.5pt;mso-position-horizontal:left;mso-position-horizontal-relative:margin;z-index:251660288;mso-width-relative:page;mso-height-relative:page;" filled="f" stroked="t" coordsize="21600,21600" o:gfxdata="UEsFBgAAAAAAAAAAAAAAAAAAAAAAAFBLAwQKAAAAAACHTuJAAAAAAAAAAAAAAAAABAAAAGRycy9Q&#10;SwMEFAAAAAgAh07iQF0+Y4bVAAAABgEAAA8AAABkcnMvZG93bnJldi54bWxNj01PwzAMhu9I+w+R&#10;J3FjSYeo1tJ00iZx4IL2wQFuWWPassYpTdaNf48nDnD081qvHxfLi+vEiENoPWlIZgoEUuVtS7WG&#10;1/3T3QJEiIas6Tyhhm8MsCwnN4XJrT/TFsddrAWXUMiNhibGPpcyVA06E2a+R+Lsww/ORB6HWtrB&#10;nLncdXKuVCqdaYkvNKbHdYPVcXdyGvbpw2YRk83zl3p/W2XpHD/H1YvWt9NEPYKIeIl/y3DVZ3Uo&#10;2engT2SD6DTwI5FpmoDgNMvuGRx+gSwL+V+//AFQSwMEFAAAAAgAh07iQJHIQ9DXAQAAtAMAAA4A&#10;AABkcnMvZTJvRG9jLnhtbK1TyW7bMBC9F+g/ELzXUrykhmA5BxvppWgNpP0AmiIlAtwww1j233dI&#10;OU6aXnKoDtRwljd8j8PNw9lZdlKAJviW381qzpSXoTO+b/nvX49f1pxhEr4TNnjV8otC/rD9/Gkz&#10;xkbNwxBsp4ARiMdmjC0fUopNVaEclBM4C1F5CuoATiTaQl91IEZCd7aa1/V9NQboIgSpEMm7n4L8&#10;iggfAQxaG6n2QT475dOECsqKRJRwMBH5tpxWayXTT61RJWZbTkxTWakJ2ce8VtuNaHoQcTDyegTx&#10;kSO84+SE8dT0BrUXSbBnMP9AOSMhYNBpJoOrJiJFEWJxV7/T5mkQURUuJDXGm+j4/2Dlj9MBmOla&#10;vuDMC0cX/pRAmH5IbBe8JwEDsEXWaYzYUPrOH+C6w3iATPqsweU/0WHnou3lpq06JybJeb+oV4v1&#10;ijP5EqteCyNg+qaCY9louTU+0xaNOH3HRM0o9SUlu314NNaWq7OejRl8RRcqBY2jpjEg00WihL7n&#10;TNie5lwmKIgYrOlydcZB6I87C+wkaDqWy6/z3TITpW5/peXWe4HDlFdC09w4k+gpWONavq7zd622&#10;nkCyXJNA2TqG7lJ0K366zNLmOnh5Wt7uS/XrY9v+AV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FsEAABbQ29udGVudF9UeXBlc10ueG1sUEsBAhQA&#10;CgAAAAAAh07iQAAAAAAAAAAAAAAAAAYAAAAAAAAAAAAQAAAAPQMAAF9yZWxzL1BLAQIUABQAAAAI&#10;AIdO4kCKFGY80QAAAJQBAAALAAAAAAAAAAEAIAAAAGEDAABfcmVscy8ucmVsc1BLAQIUAAoAAAAA&#10;AIdO4kAAAAAAAAAAAAAAAAAEAAAAAAAAAAAAEAAAABYAAABkcnMvUEsBAhQAFAAAAAgAh07iQF0+&#10;Y4bVAAAABgEAAA8AAAAAAAAAAQAgAAAAOAAAAGRycy9kb3ducmV2LnhtbFBLAQIUABQAAAAIAIdO&#10;4kCRyEPQ1wEAALQDAAAOAAAAAAAAAAEAIAAAADoBAABkcnMvZTJvRG9jLnhtbFBLBQYAAAAABgAG&#10;AFkBAACD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</w:p>
    <w:p>
      <w:pPr>
        <w:rPr>
          <w:rFonts w:eastAsiaTheme="minorEastAsia"/>
        </w:rPr>
      </w:pPr>
      <w:r>
        <w:rPr>
          <w:rFonts w:eastAsiaTheme="minorEastAsia"/>
        </w:rPr>
        <w:t>Now we will take the value of support as S</w:t>
      </w:r>
      <w:r>
        <w:rPr>
          <w:rFonts w:eastAsiaTheme="minorEastAsia"/>
          <w:vertAlign w:val="subscript"/>
        </w:rPr>
        <w:t>3</w:t>
      </w:r>
      <w:r>
        <w:rPr>
          <w:rFonts w:eastAsiaTheme="minorEastAsia"/>
        </w:rPr>
        <w:t xml:space="preserve"> = 0.</w:t>
      </w:r>
      <w:r>
        <w:rPr>
          <w:rFonts w:hint="default" w:eastAsiaTheme="minorEastAsia"/>
        </w:rPr>
        <w:t>2</w:t>
      </w:r>
      <w:r>
        <w:rPr>
          <w:rFonts w:eastAsiaTheme="minorEastAsia"/>
        </w:rPr>
        <w:t xml:space="preserve"> and confidence as C</w:t>
      </w:r>
      <w:r>
        <w:rPr>
          <w:rFonts w:eastAsiaTheme="minorEastAsia"/>
          <w:vertAlign w:val="subscript"/>
        </w:rPr>
        <w:t>3</w:t>
      </w:r>
      <w:r>
        <w:rPr>
          <w:rFonts w:eastAsiaTheme="minorEastAsia"/>
        </w:rPr>
        <w:t xml:space="preserve"> = 0.</w:t>
      </w:r>
      <w:r>
        <w:rPr>
          <w:rFonts w:hint="default" w:eastAsiaTheme="minorEastAsia"/>
        </w:rPr>
        <w:t>9</w:t>
      </w:r>
      <w:r>
        <w:rPr>
          <w:rFonts w:eastAsiaTheme="minorEastAsia"/>
        </w:rPr>
        <w:t>.</w:t>
      </w:r>
    </w:p>
    <w:p>
      <w:pPr>
        <m:rPr/>
        <w:rPr>
          <w:rFonts w:hAnsi="Cambria Math"/>
          <w:i w:val="0"/>
        </w:rPr>
      </w:pP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 xml:space="preserve">cℎeese and </m:t>
            </m:r>
            <m:r>
              <m:rPr/>
              <w:rPr>
                <w:rFonts w:hint="default" w:ascii="DejaVu Math TeX Gyre" w:hAnsi="DejaVu Math TeX Gyre"/>
              </w:rPr>
              <m:t>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  <m:r>
          <m:rPr/>
          <w:rPr>
            <w:rFonts w:hint="default" w:ascii="DejaVu Math TeX Gyre" w:hAnsi="DejaVu Math TeX Gyre"/>
          </w:rPr>
          <m:t>5</m:t>
        </m:r>
      </m:oMath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</m:t>
            </m:r>
            <m:r>
              <m:rPr/>
              <w:rPr>
                <w:rFonts w:hint="default" w:ascii="DejaVu Math TeX Gyre" w:hAnsi="DejaVu Math TeX Gyre"/>
              </w:rPr>
              <m:t xml:space="preserve"> </m:t>
            </m:r>
            <m:r>
              <m:rPr/>
              <w:rPr>
                <w:rFonts w:hint="default" w:ascii="DejaVu Math TeX Gyre" w:hAnsi="DejaVu Math TeX Gyre"/>
              </w:rPr>
              <m:t>and 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w:rPr>
          <w:rFonts w:hint="default" w:ascii="Times New Roman" w:hAnsi="Cambria Math"/>
          <w:i w:val="0"/>
        </w:rPr>
        <w:t>33</w:t>
      </w:r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soda</m:t>
            </m:r>
            <m:r>
              <m:rPr/>
              <w:rPr>
                <w:rFonts w:hint="default" w:ascii="DejaVu Math TeX Gyre" w:hAnsi="DejaVu Math TeX Gyre"/>
              </w:rPr>
              <m:t xml:space="preserve"> and 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w:rPr>
          <w:rFonts w:hint="default" w:ascii="Times New Roman" w:hAnsi="Cambria Math"/>
          <w:i w:val="0"/>
        </w:rPr>
        <w:t>33</w:t>
      </w:r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</m:t>
            </m:r>
            <m:r>
              <m:rPr/>
              <w:rPr>
                <w:rFonts w:hint="default" w:ascii="DejaVu Math TeX Gyre" w:hAnsi="DejaVu Math TeX Gyre"/>
              </w:rPr>
              <m:t>,</m:t>
            </m:r>
            <m:r>
              <m:rPr/>
              <w:rPr>
                <w:rFonts w:hint="default" w:ascii="DejaVu Math TeX Gyre" w:hAnsi="DejaVu Math TeX Gyre"/>
              </w:rPr>
              <m:t xml:space="preserve"> so</m:t>
            </m:r>
            <m:r>
              <m:rPr/>
              <w:rPr>
                <w:rFonts w:hint="default" w:ascii="DejaVu Math TeX Gyre" w:hAnsi="DejaVu Math TeX Gyre"/>
              </w:rPr>
              <m:t>da and 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2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33</w:t>
      </w:r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cℎeese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667</w:t>
      </w:r>
      <w:r>
        <w:rPr>
          <w:rFonts w:eastAsiaTheme="minorEastAsia"/>
        </w:rPr>
        <w:t xml:space="preserve"> </w:t>
      </w:r>
    </w:p>
    <w:p>
      <w:pPr>
        <m:rPr/>
        <w:rPr>
          <w:rFonts w:hint="default" w:ascii="Times New Roman" w:hAnsi="Cambria Math"/>
          <w:i w:val="0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butter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4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667</w:t>
      </w:r>
    </w:p>
    <w:p>
      <w:pPr>
        <m:rPr/>
        <w:rPr>
          <w:rFonts w:hint="default" w:ascii="Times New Roman" w:hAnsi="Cambria Math"/>
          <w:i w:val="0"/>
        </w:rPr>
      </w:pPr>
      <m:oMath>
        <m:r>
          <m:rPr/>
          <w:rPr>
            <w:rFonts w:ascii="Cambria Math" w:hAnsi="Cambria Math"/>
          </w:rPr>
          <m:t xml:space="preserve">Support tℎresℎold 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/>
              <w:rPr>
                <w:rFonts w:hint="default" w:ascii="DejaVu Math TeX Gyre" w:hAnsi="DejaVu Math TeX Gyre"/>
              </w:rPr>
              <m:t>soda</m:t>
            </m:r>
            <m:ctrlPr>
              <w:rPr>
                <w:rFonts w:ascii="Cambria Math" w:hAnsi="Cambria Math"/>
                <w:i/>
              </w:rPr>
            </m:ctrlPr>
          </m:e>
        </m:d>
        <m:r>
          <m:rPr/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m:rPr/>
              <w:rPr>
                <w:rFonts w:hint="default" w:ascii="DejaVu Math TeX Gyre" w:hAnsi="DejaVu Math TeX Gyre"/>
              </w:rPr>
              <m:t>3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m:rPr/>
              <w:rPr>
                <w:rFonts w:ascii="Cambria Math" w:hAnsi="Cambria Math"/>
              </w:rPr>
              <m:t>6</m:t>
            </m:r>
            <m:ctrlPr>
              <w:rPr>
                <w:rFonts w:ascii="Cambria Math" w:hAnsi="Cambria Math"/>
                <w:i/>
              </w:rPr>
            </m:ctrlPr>
          </m:den>
        </m:f>
        <m:r>
          <m:rPr/>
          <w:rPr>
            <w:rFonts w:ascii="Cambria Math" w:hAnsi="Cambria Math"/>
          </w:rPr>
          <m:t>=0.</m:t>
        </m:r>
      </m:oMath>
      <w:r>
        <m:rPr/>
        <w:rPr>
          <w:rFonts w:hint="default" w:ascii="Times New Roman" w:hAnsi="Cambria Math"/>
          <w:i w:val="0"/>
        </w:rPr>
        <w:t>5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  <w:r>
        <w:rPr>
          <w:rFonts w:eastAsiaTheme="minorEastAsia"/>
        </w:rPr>
        <w:t>Now we will generate the association rules.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Rule 1: </w:t>
      </w:r>
    </w:p>
    <w:p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cℎeese</m:t>
              </m:r>
              <m:r>
                <m:rPr/>
                <w:rPr>
                  <w:rFonts w:hint="default" w:ascii="DejaVu Math TeX Gyre" w:hAnsi="DejaVu Math TeX Gyre" w:eastAsiaTheme="minorEastAsia"/>
                </w:rPr>
                <m:t>,butter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  <m:r>
            <m:rPr/>
            <w:rPr>
              <w:rFonts w:ascii="Cambria Math" w:hAnsi="Cambria Math" w:eastAsiaTheme="minorEastAsia"/>
            </w:rPr>
            <m:t xml:space="preserve"> ⇒</m:t>
          </m:r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soda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</m:oMath>
      </m:oMathPara>
    </w:p>
    <w:p>
      <w:pPr>
        <w:rPr>
          <w:rFonts w:hint="default" w:eastAsiaTheme="minorEastAsia"/>
        </w:rPr>
      </w:pPr>
      <m:oMath>
        <m:r>
          <m:rPr/>
          <w:rPr>
            <w:rFonts w:ascii="Cambria Math" w:hAnsi="Cambria Math" w:eastAsiaTheme="minorEastAsia"/>
          </w:rPr>
          <m:t>Confidence=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m:rPr/>
              <w:rPr>
                <w:rFonts w:ascii="Cambria Math" w:hAnsi="Cambria Math" w:eastAsiaTheme="minorEastAsia"/>
              </w:rPr>
              <m:t>Support</m:t>
            </m:r>
            <m:d>
              <m:dPr>
                <m:ctrlPr>
                  <w:rPr>
                    <w:rFonts w:ascii="Cambria Math" w:hAnsi="Cambria Math" w:eastAsiaTheme="minorEastAsia"/>
                    <w:i/>
                  </w:rPr>
                </m:ctrlPr>
              </m:dPr>
              <m:e>
                <m:r>
                  <m:rPr/>
                  <w:rPr>
                    <w:rFonts w:ascii="Cambria Math" w:hAnsi="Cambria Math" w:eastAsiaTheme="minorEastAsia"/>
                  </w:rPr>
                  <m:t xml:space="preserve"> </m:t>
                </m:r>
                <m:r>
                  <m:rPr/>
                  <w:rPr>
                    <w:rFonts w:hint="default" w:ascii="DejaVu Math TeX Gyre" w:hAnsi="DejaVu Math TeX Gyre" w:eastAsiaTheme="minorEastAsia"/>
                  </w:rPr>
                  <m:t>cℎeese</m:t>
                </m:r>
                <m:r>
                  <m:rPr/>
                  <w:rPr>
                    <w:rFonts w:hint="default" w:ascii="DejaVu Math TeX Gyre" w:hAnsi="DejaVu Math TeX Gyre" w:eastAsiaTheme="minorEastAsia"/>
                  </w:rPr>
                  <m:t xml:space="preserve"> and butter 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m:rPr/>
              <w:rPr>
                <w:rFonts w:ascii="Cambria Math" w:hAnsi="Cambria Math" w:eastAsiaTheme="minorEastAsia"/>
              </w:rPr>
              <m:t>Support (</m:t>
            </m:r>
            <m:r>
              <m:rPr/>
              <w:rPr>
                <w:rFonts w:hint="default" w:ascii="DejaVu Math TeX Gyre" w:hAnsi="DejaVu Math TeX Gyre" w:eastAsiaTheme="minorEastAsia"/>
              </w:rPr>
              <m:t>soda</m:t>
            </m:r>
            <m:r>
              <m:rPr/>
              <w:rPr>
                <w:rFonts w:ascii="Cambria Math" w:hAnsi="Cambria Math" w:eastAsiaTheme="minorEastAsia"/>
              </w:rPr>
              <m:t>)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</w:rPr>
          <m:t>=</m:t>
        </m:r>
        <m:r>
          <m:rPr/>
          <w:rPr>
            <w:rFonts w:hint="default" w:ascii="DejaVu Math TeX Gyre" w:hAnsi="DejaVu Math TeX Gyre" w:eastAsiaTheme="minorEastAsia"/>
          </w:rPr>
          <m:t xml:space="preserve"> </m:t>
        </m:r>
      </m:oMath>
      <w:r>
        <w:rPr>
          <w:rFonts w:eastAsiaTheme="minorEastAsia"/>
        </w:rPr>
        <w:t>0</w:t>
      </w:r>
      <w:r>
        <w:rPr>
          <w:rFonts w:hint="default" w:eastAsiaTheme="minorEastAsia"/>
        </w:rPr>
        <w:t>.</w:t>
      </w:r>
      <w:r>
        <w:rPr>
          <w:rFonts w:hint="default" w:eastAsiaTheme="minorEastAsia"/>
        </w:rPr>
        <w:t>1</w:t>
      </w:r>
    </w:p>
    <w:p>
      <w:pPr>
        <w:rPr>
          <w:rFonts w:eastAsiaTheme="minorEastAsia"/>
        </w:rPr>
      </w:pPr>
      <w:r>
        <w:rPr>
          <w:rFonts w:eastAsiaTheme="minorEastAsia"/>
        </w:rPr>
        <w:t xml:space="preserve">Rule 2: </w:t>
      </w:r>
    </w:p>
    <w:p>
      <w:pPr>
        <w:rPr>
          <w:rFonts w:eastAsiaTheme="minorEastAsia"/>
        </w:rPr>
      </w:pPr>
      <m:oMathPara>
        <m:oMath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 xml:space="preserve">butter, </m:t>
              </m:r>
              <m:r>
                <m:rPr/>
                <w:rPr>
                  <w:rFonts w:hint="default" w:ascii="DejaVu Math TeX Gyre" w:hAnsi="DejaVu Math TeX Gyre" w:eastAsiaTheme="minorEastAsia"/>
                </w:rPr>
                <m:t>soda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  <m:r>
            <m:rPr/>
            <w:rPr>
              <w:rFonts w:ascii="Cambria Math" w:hAnsi="Cambria Math" w:eastAsiaTheme="minorEastAsia"/>
            </w:rPr>
            <m:t xml:space="preserve"> ⇒</m:t>
          </m:r>
          <m:d>
            <m:dPr>
              <m:ctrlPr>
                <w:rPr>
                  <w:rFonts w:ascii="Cambria Math" w:hAnsi="Cambria Math" w:eastAsiaTheme="minorEastAsia"/>
                  <w:i/>
                </w:rPr>
              </m:ctrlPr>
            </m:dPr>
            <m:e>
              <m:r>
                <m:rPr/>
                <w:rPr>
                  <w:rFonts w:hint="default" w:ascii="DejaVu Math TeX Gyre" w:hAnsi="DejaVu Math TeX Gyre" w:eastAsiaTheme="minorEastAsia"/>
                </w:rPr>
                <m:t>cℎeese</m:t>
              </m:r>
              <m:ctrlPr>
                <w:rPr>
                  <w:rFonts w:ascii="Cambria Math" w:hAnsi="Cambria Math" w:eastAsiaTheme="minorEastAsia"/>
                  <w:i/>
                </w:rPr>
              </m:ctrlPr>
            </m:e>
          </m:d>
        </m:oMath>
      </m:oMathPara>
    </w:p>
    <w:p>
      <w:pPr>
        <w:rPr>
          <w:rFonts w:eastAsiaTheme="minorEastAsia"/>
        </w:rPr>
      </w:pPr>
      <m:oMath>
        <m:r>
          <m:rPr/>
          <w:rPr>
            <w:rFonts w:ascii="Cambria Math" w:hAnsi="Cambria Math" w:eastAsiaTheme="minorEastAsia"/>
          </w:rPr>
          <m:t>Confidence=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m:rPr/>
              <w:rPr>
                <w:rFonts w:ascii="Cambria Math" w:hAnsi="Cambria Math" w:eastAsiaTheme="minorEastAsia"/>
              </w:rPr>
              <m:t>Support</m:t>
            </m:r>
            <m:d>
              <m:dPr>
                <m:ctrlPr>
                  <w:rPr>
                    <w:rFonts w:ascii="Cambria Math" w:hAnsi="Cambria Math" w:eastAsiaTheme="minorEastAsia"/>
                    <w:i/>
                  </w:rPr>
                </m:ctrlPr>
              </m:dPr>
              <m:e>
                <m:r>
                  <m:rPr/>
                  <w:rPr>
                    <w:rFonts w:ascii="Cambria Math" w:hAnsi="Cambria Math" w:eastAsiaTheme="minorEastAsia"/>
                  </w:rPr>
                  <m:t xml:space="preserve"> </m:t>
                </m:r>
                <m:r>
                  <m:rPr/>
                  <w:rPr>
                    <w:rFonts w:hint="default" w:ascii="DejaVu Math TeX Gyre" w:hAnsi="DejaVu Math TeX Gyre" w:eastAsiaTheme="minorEastAsia"/>
                  </w:rPr>
                  <m:t xml:space="preserve">butter and </m:t>
                </m:r>
                <m:r>
                  <m:rPr/>
                  <w:rPr>
                    <w:rFonts w:hint="default" w:ascii="DejaVu Math TeX Gyre" w:hAnsi="DejaVu Math TeX Gyre" w:eastAsiaTheme="minorEastAsia"/>
                  </w:rPr>
                  <m:t>soda</m:t>
                </m:r>
                <m:ctrlPr>
                  <w:rPr>
                    <w:rFonts w:ascii="Cambria Math" w:hAnsi="Cambria Math" w:eastAsiaTheme="minorEastAsia"/>
                    <w:i/>
                  </w:rPr>
                </m:ctrlPr>
              </m:e>
            </m:d>
            <m:ctrlPr>
              <w:rPr>
                <w:rFonts w:ascii="Cambria Math" w:hAnsi="Cambria Math" w:eastAsiaTheme="minorEastAsia"/>
                <w:i/>
              </w:rPr>
            </m:ctrlPr>
          </m:num>
          <m:den>
            <m:r>
              <m:rPr/>
              <w:rPr>
                <w:rFonts w:ascii="Cambria Math" w:hAnsi="Cambria Math" w:eastAsiaTheme="minorEastAsia"/>
              </w:rPr>
              <m:t>Support (</m:t>
            </m:r>
            <m:r>
              <m:rPr/>
              <w:rPr>
                <w:rFonts w:hint="default" w:ascii="DejaVu Math TeX Gyre" w:hAnsi="DejaVu Math TeX Gyre" w:eastAsiaTheme="minorEastAsia"/>
              </w:rPr>
              <m:t>cℎeese</m:t>
            </m:r>
            <m:r>
              <m:rPr/>
              <w:rPr>
                <w:rFonts w:ascii="Cambria Math" w:hAnsi="Cambria Math" w:eastAsiaTheme="minorEastAsia"/>
              </w:rPr>
              <m:t>)</m:t>
            </m:r>
            <m:ctrlPr>
              <w:rPr>
                <w:rFonts w:ascii="Cambria Math" w:hAnsi="Cambria Math" w:eastAsiaTheme="minorEastAsia"/>
                <w:i/>
              </w:rPr>
            </m:ctrlPr>
          </m:den>
        </m:f>
        <m:r>
          <m:rPr/>
          <w:rPr>
            <w:rFonts w:ascii="Cambria Math" w:hAnsi="Cambria Math" w:eastAsiaTheme="minorEastAsia"/>
          </w:rPr>
          <m:t>=</m:t>
        </m:r>
      </m:oMath>
      <w:r>
        <w:rPr>
          <w:rFonts w:eastAsiaTheme="minorEastAsia"/>
        </w:rPr>
        <w:t xml:space="preserve"> 1.0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  <w:r>
        <w:rPr>
          <w:rFonts w:eastAsiaTheme="minorEastAsia"/>
        </w:rPr>
        <w:t xml:space="preserve">Hence, we can say that the Rule </w:t>
      </w:r>
      <w:r>
        <w:rPr>
          <w:rFonts w:hint="default" w:eastAsiaTheme="minorEastAsia"/>
        </w:rPr>
        <w:t xml:space="preserve">1 and </w:t>
      </w:r>
      <w:r>
        <w:rPr>
          <w:rFonts w:eastAsiaTheme="minorEastAsia"/>
        </w:rPr>
        <w:t>2</w:t>
      </w:r>
      <w:r>
        <w:rPr>
          <w:rFonts w:hint="default" w:eastAsiaTheme="minorEastAsia"/>
        </w:rPr>
        <w:t xml:space="preserve"> </w:t>
      </w:r>
      <w:r>
        <w:rPr>
          <w:rFonts w:hint="default" w:eastAsiaTheme="minorEastAsia"/>
        </w:rPr>
        <w:t>is</w:t>
      </w:r>
      <w:r>
        <w:rPr>
          <w:rFonts w:eastAsiaTheme="minorEastAsia"/>
        </w:rPr>
        <w:t xml:space="preserve"> the strong association rules.</w:t>
      </w:r>
    </w:p>
    <w:p>
      <w:pPr>
        <w:rPr>
          <w:rFonts w:hint="default"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</w:p>
    <w:p>
      <w:pPr>
        <w:rPr>
          <w:rFonts w:hint="default"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hint="default"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3248025" cy="3100070"/>
            <wp:effectExtent l="0" t="0" r="3175" b="24130"/>
            <wp:docPr id="954" name="Picture 954" descr="Screen Shot 2022-08-06 at 6.44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" name="Picture 954" descr="Screen Shot 2022-08-06 at 6.44.12 PM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hint="default"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  <w:drawing>
          <wp:inline distT="0" distB="0" distL="114300" distR="114300">
            <wp:extent cx="3528060" cy="2436495"/>
            <wp:effectExtent l="0" t="0" r="2540" b="1905"/>
            <wp:docPr id="955" name="Picture 955" descr="Screen Shot 2022-08-06 at 6.44.40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" name="Picture 955" descr="Screen Shot 2022-08-06 at 6.44.40 PM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806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</w:p>
    <w:p>
      <w:pPr>
        <w:rPr>
          <w:rFonts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  <w:t>Observations</w:t>
      </w:r>
    </w:p>
    <w:p>
      <w:pPr>
        <w:rPr>
          <w:rFonts w:hint="default" w:eastAsiaTheme="minorEastAsia"/>
        </w:rPr>
      </w:pPr>
      <w:r>
        <w:rPr>
          <w:rFonts w:hint="default" w:eastAsiaTheme="minorEastAsia"/>
        </w:rPr>
        <w:t xml:space="preserve">The benefit of this strategy is that we can readily trim the goods that are not frequently purchased together. However, the difficulty with this is that it takes a long time to compute since it must scan over a full data collection. As a result, while dealing with bigger data sets, this approach becomes slightly more time intensive. </w:t>
      </w:r>
    </w:p>
    <w:p>
      <w:pPr>
        <w:rPr>
          <w:rFonts w:hint="default" w:eastAsiaTheme="minorEastAsia"/>
        </w:rPr>
      </w:pPr>
      <w:r>
        <w:rPr>
          <w:rFonts w:hint="default" w:eastAsiaTheme="minorEastAsia"/>
        </w:rPr>
        <w:t>Here, we can observe that as the support threshold values declined, so did the number of frequent item sets and rules. This means that for a large data collection, we need a somewhat higher support threshold number to prevent needless rules from being produced as a result of low support</w:t>
      </w:r>
      <w:r>
        <w:rPr>
          <w:rFonts w:hint="default" w:eastAsiaTheme="minorEastAsia"/>
        </w:rPr>
        <w:t xml:space="preserve"> threshold</w:t>
      </w:r>
      <w:r>
        <w:rPr>
          <w:rFonts w:hint="default" w:eastAsiaTheme="minorEastAsia"/>
        </w:rPr>
        <w:t>.</w:t>
      </w:r>
    </w:p>
    <w:p>
      <w:pPr>
        <w:rPr>
          <w:rFonts w:eastAsiaTheme="minorEastAsia"/>
        </w:rPr>
      </w:pPr>
      <w:r>
        <w:rPr>
          <w:rFonts w:hint="default" w:eastAsiaTheme="minorEastAsia"/>
        </w:rPr>
        <w:t>However, we cannot have a very high threshold number because this would result in certain critical association rules being disregarded.</w:t>
      </w:r>
    </w:p>
    <w:p>
      <w:pPr>
        <w:rPr>
          <w:rFonts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</w:pPr>
      <w:r>
        <w:rPr>
          <w:rFonts w:eastAsiaTheme="minorEastAsia"/>
          <w:bCs/>
          <w:color w:val="4472C4" w:themeColor="accent1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Fill>
            <w14:solidFill>
              <w14:schemeClr w14:val="accent1"/>
            </w14:solidFill>
          </w14:textFill>
        </w:rPr>
        <w:t>References</w:t>
      </w:r>
    </w:p>
    <w:p>
      <w:pPr>
        <w:pStyle w:val="13"/>
        <w:numPr>
          <w:ilvl w:val="0"/>
          <w:numId w:val="1"/>
        </w:numPr>
        <w:rPr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rPr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Introduction to Data Mining by Pang Ning, Michael Steinbach and Vipin Kumar</w:t>
      </w:r>
    </w:p>
    <w:p>
      <w:pPr>
        <w:pStyle w:val="13"/>
        <w:numPr>
          <w:ilvl w:val="0"/>
          <w:numId w:val="1"/>
        </w:numPr>
        <w:rPr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fldChar w:fldCharType="begin"/>
      </w:r>
      <w:r>
        <w:instrText xml:space="preserve"> HYPERLINK "https://www.geeksforgeeks.org/apriori-algorithm/" </w:instrText>
      </w:r>
      <w:r>
        <w:fldChar w:fldCharType="separate"/>
      </w:r>
      <w:r>
        <w:rPr>
          <w:rStyle w:val="6"/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https://www.geeksforgeeks.org/apriori-algorithm/</w:t>
      </w:r>
      <w:r>
        <w:rPr>
          <w:rStyle w:val="6"/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fldChar w:fldCharType="end"/>
      </w:r>
    </w:p>
    <w:p>
      <w:pPr>
        <w:pStyle w:val="13"/>
        <w:numPr>
          <w:ilvl w:val="0"/>
          <w:numId w:val="1"/>
        </w:numPr>
        <w:rPr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  <w:r>
        <w:fldChar w:fldCharType="begin"/>
      </w:r>
      <w:r>
        <w:instrText xml:space="preserve"> HYPERLINK "https://towardsdatascience.com/the-apriori-algorithm-5da3db9aea95" </w:instrText>
      </w:r>
      <w:r>
        <w:fldChar w:fldCharType="separate"/>
      </w:r>
      <w:r>
        <w:rPr>
          <w:rStyle w:val="6"/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t>https://towardsdatascience.com/the-apriori-algorithm-5da3db9aea95</w:t>
      </w:r>
      <w:r>
        <w:rPr>
          <w:rStyle w:val="6"/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  <w:fldChar w:fldCharType="end"/>
      </w:r>
    </w:p>
    <w:p>
      <w:pPr>
        <w:pStyle w:val="13"/>
        <w:rPr>
          <w:rFonts w:eastAsiaTheme="minorEastAsia"/>
          <w:bCs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</w:rPr>
      </w:pPr>
    </w:p>
    <w:p>
      <w:pPr>
        <w:rPr>
          <w:rFonts w:eastAsiaTheme="minorEastAsia"/>
        </w:rPr>
      </w:pPr>
      <w:r>
        <w:rPr>
          <w:rFonts w:eastAsiaTheme="minorEastAsia"/>
        </w:rPr>
        <w:t xml:space="preserve"> </w:t>
      </w: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>
      <w:pPr>
        <w:rPr>
          <w:rFonts w:eastAsiaTheme="minorEastAsia"/>
        </w:rPr>
      </w:pPr>
    </w:p>
    <w:p/>
    <w:sectPr>
      <w:footerReference r:id="rId5" w:type="default"/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pgNumType w:start="0"/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Arial">
    <w:panose1 w:val="020B0604020202020204"/>
    <w:charset w:val="00"/>
    <w:family w:val="swiss"/>
    <w:pitch w:val="default"/>
    <w:sig w:usb0="00000000" w:usb1="00000000" w:usb2="00000000" w:usb3="00000000" w:csb0="00000000" w:csb1="0000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黑体-简">
    <w:panose1 w:val="02000000000000000000"/>
    <w:charset w:val="86"/>
    <w:family w:val="auto"/>
    <w:pitch w:val="default"/>
    <w:sig w:usb0="00000000" w:usb1="00000000" w:usb2="00000000" w:usb3="00000000" w:csb0="00160000" w:csb1="00000000"/>
  </w:font>
  <w:font w:name="Courier New">
    <w:panose1 w:val="02070309020205020404"/>
    <w:charset w:val="00"/>
    <w:family w:val="modern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20F0502020204030204"/>
    <w:charset w:val="86"/>
    <w:family w:val="swiss"/>
    <w:pitch w:val="default"/>
    <w:sig w:usb0="00000000" w:usb1="00000000" w:usb2="00000001" w:usb3="00000000" w:csb0="0000019F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9" w:usb3="00000000" w:csb0="000001FF" w:csb1="00000000"/>
  </w:font>
  <w:font w:name="等线 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等线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 Math">
    <w:altName w:val="Kingsoft Math"/>
    <w:panose1 w:val="02040503050406030204"/>
    <w:charset w:val="00"/>
    <w:family w:val="roman"/>
    <w:pitch w:val="default"/>
    <w:sig w:usb0="00000000" w:usb1="00000000" w:usb2="02000000" w:usb3="00000000" w:csb0="0000019F" w:csb1="00000000"/>
  </w:font>
  <w:font w:name="Kingsoft Math">
    <w:panose1 w:val="02040503050406030204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Calibri">
    <w:altName w:val="Helvetica Neue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iragino Sans GB">
    <w:panose1 w:val="020B0300000000000000"/>
    <w:charset w:val="86"/>
    <w:family w:val="auto"/>
    <w:pitch w:val="default"/>
    <w:sig w:usb0="00000000" w:usb1="00000000" w:usb2="00000000" w:usb3="00000000" w:csb0="00160000" w:csb1="00000000"/>
  </w:font>
  <w:font w:name="DejaVu Math TeX Gyre">
    <w:panose1 w:val="02000503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037507079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4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</w:rPr>
          <w:t>2</w:t>
        </w:r>
        <w:r>
          <w:rPr>
            <w:b/>
            <w:bCs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80"/>
            <w:spacing w:val="60"/>
          </w:rPr>
          <w:t>Page</w:t>
        </w:r>
      </w:p>
    </w:sdtContent>
  </w:sdt>
  <w:p>
    <w:pPr>
      <w:pStyle w:val="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5397F51"/>
    <w:multiLevelType w:val="multilevel"/>
    <w:tmpl w:val="35397F51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1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09B4"/>
    <w:rsid w:val="00092CAF"/>
    <w:rsid w:val="000B61CE"/>
    <w:rsid w:val="000E09B4"/>
    <w:rsid w:val="00174923"/>
    <w:rsid w:val="00176E26"/>
    <w:rsid w:val="0018220D"/>
    <w:rsid w:val="001A4850"/>
    <w:rsid w:val="001F18F4"/>
    <w:rsid w:val="00262A92"/>
    <w:rsid w:val="002D15F2"/>
    <w:rsid w:val="002E56BA"/>
    <w:rsid w:val="00406C87"/>
    <w:rsid w:val="004D6B13"/>
    <w:rsid w:val="00547E50"/>
    <w:rsid w:val="00675D19"/>
    <w:rsid w:val="006E4DD2"/>
    <w:rsid w:val="0075043E"/>
    <w:rsid w:val="007F4840"/>
    <w:rsid w:val="0091170C"/>
    <w:rsid w:val="009222C8"/>
    <w:rsid w:val="009C395B"/>
    <w:rsid w:val="00A06B43"/>
    <w:rsid w:val="00A54022"/>
    <w:rsid w:val="00A5640F"/>
    <w:rsid w:val="00AD1A0B"/>
    <w:rsid w:val="00C44781"/>
    <w:rsid w:val="00D714EF"/>
    <w:rsid w:val="00F905F0"/>
    <w:rsid w:val="00FE14C7"/>
    <w:rsid w:val="3DF3DB4B"/>
    <w:rsid w:val="63FFAD34"/>
    <w:rsid w:val="7CF77293"/>
    <w:rsid w:val="9FA7F027"/>
    <w:rsid w:val="B67D7CA6"/>
    <w:rsid w:val="DD9C18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99" w:name="Placeholder Text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cs="Times New Roman" w:eastAsiaTheme="minorHAnsi"/>
      <w:sz w:val="24"/>
      <w:szCs w:val="24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1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15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Subtitle"/>
    <w:basedOn w:val="1"/>
    <w:next w:val="1"/>
    <w:link w:val="12"/>
    <w:qFormat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8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9">
    <w:name w:val="Title"/>
    <w:basedOn w:val="1"/>
    <w:next w:val="1"/>
    <w:link w:val="11"/>
    <w:qFormat/>
    <w:uiPriority w:val="10"/>
    <w:pPr>
      <w:spacing w:after="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10">
    <w:name w:val="Placeholder Text"/>
    <w:basedOn w:val="2"/>
    <w:semiHidden/>
    <w:uiPriority w:val="99"/>
    <w:rPr>
      <w:color w:val="808080"/>
    </w:rPr>
  </w:style>
  <w:style w:type="character" w:customStyle="1" w:styleId="11">
    <w:name w:val="Title Char"/>
    <w:basedOn w:val="2"/>
    <w:link w:val="9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12">
    <w:name w:val="Subtitle Char"/>
    <w:basedOn w:val="2"/>
    <w:link w:val="7"/>
    <w:uiPriority w:val="11"/>
    <w:rPr>
      <w:rFonts w:asciiTheme="minorHAnsi" w:hAnsiTheme="minorHAnsi" w:eastAsiaTheme="minorEastAsia" w:cstheme="minorBidi"/>
      <w:color w:val="595959" w:themeColor="text1" w:themeTint="A6"/>
      <w:spacing w:val="15"/>
      <w:sz w:val="22"/>
      <w:szCs w:val="22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character" w:customStyle="1" w:styleId="14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15">
    <w:name w:val="Header Char"/>
    <w:basedOn w:val="2"/>
    <w:link w:val="5"/>
    <w:uiPriority w:val="99"/>
  </w:style>
  <w:style w:type="character" w:customStyle="1" w:styleId="16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1057</Words>
  <Characters>6025</Characters>
  <Lines>50</Lines>
  <Paragraphs>14</Paragraphs>
  <TotalTime>2</TotalTime>
  <ScaleCrop>false</ScaleCrop>
  <LinksUpToDate>false</LinksUpToDate>
  <CharactersWithSpaces>7068</CharactersWithSpaces>
  <Application>WPS Office_4.3.0.7580_F1E327BC-269C-435d-A152-05C5408002CA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2022-03-31T15:40:00Z</dcterms:created>
  <dc:creator>Garg, Animesh</dc:creator>
  <cp:lastModifiedBy>pankajgope</cp:lastModifiedBy>
  <cp:lastPrinted>2022-03-31T18:17:00Z</cp:lastPrinted>
  <dcterms:modified xsi:type="dcterms:W3CDTF">2022-08-06T18:47:22Z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1033-4.3.0.7580</vt:lpwstr>
  </property>
</Properties>
</file>