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Humanoid Robot Research — Thesis Briefing</w:t>
      </w:r>
    </w:p>
    <w:p>
      <w:pPr>
        <w:pStyle w:val="Subtitle"/>
      </w:pPr>
      <w:r>
        <w:t xml:space="preserve">Vision-Language-Action policies on the Unitree G1 EDU: context, proposed thesis, and open questions</w:t>
      </w:r>
    </w:p>
    <w:p>
      <w:pPr>
        <w:pStyle w:val="Date"/>
      </w:pPr>
      <w:r>
        <w:t xml:space="preserve">30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6bed902b637d11aa522d44d47aa9a15b55229a9"/>
    <w:p>
      <w:pPr>
        <w:pStyle w:val="Heading1"/>
      </w:pPr>
      <w:r>
        <w:t xml:space="preserve">Humanoid robot research — Master’s thesis workspace</w:t>
      </w:r>
    </w:p>
    <w:p>
      <w:pPr>
        <w:pStyle w:val="FirstParagraph"/>
      </w:pPr>
      <w:r>
        <w:t xml:space="preserve">Research workspace for a Master’s thesis on</w:t>
      </w:r>
      <w:r>
        <w:t xml:space="preserve"> </w:t>
      </w:r>
      <w:r>
        <w:rPr>
          <w:b/>
          <w:bCs/>
        </w:rPr>
        <w:t xml:space="preserve">Vision-Language-Action (VLA) policies on a Unitree</w:t>
      </w:r>
      <w:r>
        <w:rPr>
          <w:b/>
          <w:bCs/>
        </w:rPr>
        <w:t xml:space="preserve"> </w:t>
      </w:r>
      <w:r>
        <w:rPr>
          <w:b/>
          <w:bCs/>
        </w:rPr>
        <w:t xml:space="preserve">G1 humanoid</w:t>
      </w:r>
      <w:r>
        <w:t xml:space="preserve">, in a robotics lab at Nankai University. Lab source material is in Chinese;</w:t>
      </w:r>
      <w:r>
        <w:t xml:space="preserve"> </w:t>
      </w:r>
      <w:r>
        <w:t xml:space="preserve">everything produced here is in English.</w:t>
      </w:r>
    </w:p>
    <w:p>
      <w:r>
        <w:pict>
          <v:rect style="width:0;height:1.5pt" o:hralign="center" o:hrstd="t" o:hr="t"/>
        </w:pict>
      </w:r>
    </w:p>
    <w:bookmarkStart w:id="10" w:name="what-is-happening"/>
    <w:p>
      <w:pPr>
        <w:pStyle w:val="Heading2"/>
      </w:pPr>
      <w:r>
        <w:t xml:space="preserve">What is happening</w:t>
      </w:r>
    </w:p>
    <w:p>
      <w:pPr>
        <w:pStyle w:val="FirstParagraph"/>
      </w:pPr>
      <w:r>
        <w:t xml:space="preserve">The project started from a Chinese sales brochure and an assumption that the work would be</w:t>
      </w:r>
      <w:r>
        <w:t xml:space="preserve"> </w:t>
      </w:r>
      <w:r>
        <w:t xml:space="preserve">control and perception engineering on a Unitree</w:t>
      </w:r>
      <w:r>
        <w:t xml:space="preserve"> </w:t>
      </w:r>
      <w:r>
        <w:rPr>
          <w:b/>
          <w:bCs/>
        </w:rPr>
        <w:t xml:space="preserve">R1</w:t>
      </w:r>
      <w:r>
        <w:t xml:space="preserve">. Both turned out to be wrong:</w:t>
      </w:r>
    </w:p>
    <w:p>
      <w:pPr>
        <w:pStyle w:val="Compact"/>
        <w:numPr>
          <w:ilvl w:val="0"/>
          <w:numId w:val="1001"/>
        </w:numPr>
      </w:pPr>
      <w:r>
        <w:t xml:space="preserve">The lab’s robot is a</w:t>
      </w:r>
      <w:r>
        <w:t xml:space="preserve"> </w:t>
      </w:r>
      <w:r>
        <w:rPr>
          <w:b/>
          <w:bCs/>
        </w:rPr>
        <w:t xml:space="preserve">G1 EDU</w:t>
      </w:r>
      <w:r>
        <w:t xml:space="preserve">, not an R1. The brochure describes a</w:t>
      </w:r>
      <w:r>
        <w:t xml:space="preserve"> </w:t>
      </w:r>
      <w:r>
        <w:rPr>
          <w:i/>
          <w:iCs/>
        </w:rPr>
        <w:t xml:space="preserve">workbench</w:t>
      </w:r>
      <w:r>
        <w:t xml:space="preserve"> </w:t>
      </w:r>
      <w:r>
        <w:t xml:space="preserve">from a</w:t>
      </w:r>
      <w:r>
        <w:t xml:space="preserve"> </w:t>
      </w:r>
      <w:r>
        <w:t xml:space="preserve">different product line and names G1 zero times.</w:t>
      </w:r>
    </w:p>
    <w:p>
      <w:pPr>
        <w:pStyle w:val="Compact"/>
        <w:numPr>
          <w:ilvl w:val="0"/>
          <w:numId w:val="1001"/>
        </w:numPr>
      </w:pPr>
      <w:r>
        <w:t xml:space="preserve">Day-to-day supervision covers the</w:t>
      </w:r>
      <w:r>
        <w:t xml:space="preserve"> </w:t>
      </w:r>
      <w:r>
        <w:rPr>
          <w:b/>
          <w:bCs/>
        </w:rPr>
        <w:t xml:space="preserve">VLA / decision-making layer</w:t>
      </w:r>
      <w:r>
        <w:t xml:space="preserve"> </w:t>
      </w:r>
      <w:r>
        <w:t xml:space="preserve">only. Control algorithms and</w:t>
      </w:r>
      <w:r>
        <w:t xml:space="preserve"> </w:t>
      </w:r>
      <w:r>
        <w:t xml:space="preserve">simulation cannot be supported in-group.</w:t>
      </w:r>
    </w:p>
    <w:p>
      <w:pPr>
        <w:pStyle w:val="FirstParagraph"/>
      </w:pPr>
      <w:r>
        <w:t xml:space="preserve">So the direction moved from</w:t>
      </w:r>
      <w:r>
        <w:t xml:space="preserve"> </w:t>
      </w:r>
      <w:r>
        <w:t xml:space="preserve">“learn the motion stack”</w:t>
      </w:r>
      <w:r>
        <w:t xml:space="preserve"> </w:t>
      </w:r>
      <w:r>
        <w:t xml:space="preserve">to a question that is both supervisable and</w:t>
      </w:r>
      <w:r>
        <w:t xml:space="preserve"> </w:t>
      </w:r>
      <w:r>
        <w:t xml:space="preserve">runnable on the hardware that is actually confirmed present:</w:t>
      </w:r>
    </w:p>
    <w:p>
      <w:pPr>
        <w:pStyle w:val="BlockText"/>
      </w:pPr>
      <w:r>
        <w:rPr>
          <w:b/>
          <w:bCs/>
        </w:rPr>
        <w:t xml:space="preserve">A VLA policy that is accurate offline is not necessarily usable on a robot, because the robot</w:t>
      </w:r>
      <w:r>
        <w:rPr>
          <w:b/>
          <w:bCs/>
        </w:rPr>
        <w:t xml:space="preserve"> </w:t>
      </w:r>
      <w:r>
        <w:rPr>
          <w:b/>
          <w:bCs/>
        </w:rPr>
        <w:t xml:space="preserve">keeps moving while the policy thinks. Where does the latency budget go, and what does spending</w:t>
      </w:r>
      <w:r>
        <w:rPr>
          <w:b/>
          <w:bCs/>
        </w:rPr>
        <w:t xml:space="preserve"> </w:t>
      </w:r>
      <w:r>
        <w:rPr>
          <w:b/>
          <w:bCs/>
        </w:rPr>
        <w:t xml:space="preserve">it differently cost in task success?</w:t>
      </w:r>
    </w:p>
    <w:p>
      <w:pPr>
        <w:pStyle w:val="FirstParagraph"/>
      </w:pPr>
      <w:r>
        <w:t xml:space="preserve">Full reasoning, including the two directions that were considered and deferred, is in</w:t>
      </w:r>
      <w:r>
        <w:t xml:space="preserve"> </w:t>
      </w:r>
      <w:hyperlink r:id="rId9">
        <w:r>
          <w:rPr>
            <w:rStyle w:val="VerbatimChar"/>
          </w:rPr>
          <w:t xml:space="preserve">01-thesis-proposal.md</w:t>
        </w:r>
      </w:hyperlink>
      <w:r>
        <w:t xml:space="preserve">.</w:t>
      </w:r>
    </w:p>
    <w:bookmarkEnd w:id="10"/>
    <w:bookmarkStart w:id="12" w:name="what-needs-to-be-done"/>
    <w:p>
      <w:pPr>
        <w:pStyle w:val="Heading2"/>
      </w:pPr>
      <w:r>
        <w:t xml:space="preserve">What needs to be done</w:t>
      </w:r>
    </w:p>
    <w:p>
      <w:pPr>
        <w:pStyle w:val="FirstParagraph"/>
      </w:pPr>
      <w:r>
        <w:rPr>
          <w:b/>
          <w:bCs/>
        </w:rPr>
        <w:t xml:space="preserve">Blocked on the lab</w:t>
      </w:r>
      <w:r>
        <w:t xml:space="preserve"> </w:t>
      </w:r>
      <w:r>
        <w:t xml:space="preserve">— five questions, best sent as one numbered message. The most important is</w:t>
      </w:r>
      <w:r>
        <w:t xml:space="preserve"> </w:t>
      </w:r>
      <w:r>
        <w:rPr>
          <w:i/>
          <w:iCs/>
        </w:rPr>
        <w:t xml:space="preserve">which VLA stack the group actually uses</w:t>
      </w:r>
      <w:r>
        <w:t xml:space="preserve">, because the thesis should target their stack.</w:t>
      </w:r>
    </w:p>
    <w:p>
      <w:pPr>
        <w:pStyle w:val="BodyText"/>
      </w:pPr>
      <w:r>
        <w:rPr>
          <w:b/>
          <w:bCs/>
        </w:rPr>
        <w:t xml:space="preserve">Not blocked — start now.</w:t>
      </w:r>
      <w:r>
        <w:t xml:space="preserve"> </w:t>
      </w:r>
      <w:r>
        <w:t xml:space="preserve">Three pieces of work need no hardware, no permissions and no</w:t>
      </w:r>
      <w:r>
        <w:t xml:space="preserve"> </w:t>
      </w:r>
      <w:r>
        <w:t xml:space="preserve">answers: build the latency timestamping harness, write the task-suite specification, and draft</w:t>
      </w:r>
      <w:r>
        <w:t xml:space="preserve"> </w:t>
      </w:r>
      <w:r>
        <w:t xml:space="preserve">the related-work section. Together they de-risk everything that follows.</w:t>
      </w:r>
    </w:p>
    <w:p>
      <w:pPr>
        <w:pStyle w:val="BodyText"/>
      </w:pPr>
      <w:r>
        <w:t xml:space="preserve">Both lists, with the reasoning and the order to do them in, are in</w:t>
      </w:r>
      <w:r>
        <w:t xml:space="preserve"> </w:t>
      </w:r>
      <w:hyperlink r:id="rId11">
        <w:r>
          <w:rPr>
            <w:rStyle w:val="VerbatimChar"/>
          </w:rPr>
          <w:t xml:space="preserve">02-open-questions.md</w:t>
        </w:r>
      </w:hyperlink>
      <w:r>
        <w:t xml:space="preserve">.</w:t>
      </w:r>
    </w:p>
    <w:bookmarkEnd w:id="12"/>
    <w:bookmarkStart w:id="17" w:name="documents"/>
    <w:p>
      <w:pPr>
        <w:pStyle w:val="Heading2"/>
      </w:pPr>
      <w:r>
        <w:t xml:space="preserve">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00-research-context.md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Established facts — hardware, supervision, constraints. Every claim labelled</w:t>
            </w:r>
            <w:r>
              <w:t xml:space="preserve"> </w:t>
            </w:r>
            <w:r>
              <w:rPr>
                <w:rStyle w:val="VerbatimChar"/>
              </w:rPr>
              <w:t xml:space="preserve">[CONFIRMED]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[VENDOR]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[UNVERIFIED]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01-thesis-proposal.md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proposed thesis: question, why this and not the alternatives, method, risks, PhD arc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02-open-questions.md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Decision gates and the work that can start immediately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reference/bench-brochure-translation.md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English rendering of the bench brochure. Background only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reference/sport-services-api.md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Motion API reference (</w:t>
            </w:r>
            <w:r>
              <w:rPr>
                <w:rStyle w:val="VerbatimChar"/>
              </w:rPr>
              <w:t xml:space="preserve">sport</w:t>
            </w:r>
            <w:r>
              <w:t xml:space="preserve"> </w:t>
            </w:r>
            <w:r>
              <w:t xml:space="preserve">service,</w:t>
            </w:r>
            <w:r>
              <w:t xml:space="preserve"> </w:t>
            </w:r>
            <w:r>
              <w:rPr>
                <w:rStyle w:val="VerbatimChar"/>
              </w:rPr>
              <w:t xml:space="preserve">LocoClient</w:t>
            </w:r>
            <w:r>
              <w:t xml:space="preserve">), read from SDK source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docs/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Generated PDF and DOCX of the proposal, for sharing with the lab</w:t>
            </w:r>
          </w:p>
        </w:tc>
      </w:tr>
    </w:tbl>
    <w:bookmarkEnd w:id="17"/>
    <w:bookmarkStart w:id="18" w:name="generating-the-shareable-documents"/>
    <w:p>
      <w:pPr>
        <w:pStyle w:val="Heading2"/>
      </w:pPr>
      <w:r>
        <w:t xml:space="preserve">Generating the shareable documents</w:t>
      </w:r>
    </w:p>
    <w:p>
      <w:pPr>
        <w:pStyle w:val="FirstParagraph"/>
      </w:pPr>
      <w:r>
        <w:t xml:space="preserve">The PDF and DOCX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are built from the Markdown — edit the Markdown, never the generated</w:t>
      </w:r>
      <w:r>
        <w:t xml:space="preserve"> </w:t>
      </w:r>
      <w:r>
        <w:t xml:space="preserve">files:</w:t>
      </w:r>
    </w:p>
    <w:p>
      <w:pPr>
        <w:pStyle w:val="SourceCode"/>
      </w:pPr>
      <w:r>
        <w:rPr>
          <w:rStyle w:val="ExtensionTok"/>
        </w:rPr>
        <w:t xml:space="preserve">./build-docs.sh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; the PDF step additionally requires a LaTeX engine (</w:t>
      </w:r>
      <w:r>
        <w:rPr>
          <w:rStyle w:val="VerbatimChar"/>
        </w:rPr>
        <w:t xml:space="preserve">xelatex</w:t>
      </w:r>
      <w:r>
        <w:t xml:space="preserve">).</w:t>
      </w:r>
    </w:p>
    <w:bookmarkEnd w:id="18"/>
    <w:bookmarkStart w:id="19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Claims are labelled.</w:t>
      </w:r>
      <w:r>
        <w:t xml:space="preserve"> </w:t>
      </w:r>
      <w:r>
        <w:t xml:space="preserve">Nothing moves from</w:t>
      </w:r>
      <w:r>
        <w:t xml:space="preserve"> </w:t>
      </w:r>
      <w:r>
        <w:rPr>
          <w:rStyle w:val="VerbatimChar"/>
        </w:rPr>
        <w:t xml:space="preserve">[UNVERIFIED]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[CONFIRMED]</w:t>
      </w:r>
      <w:r>
        <w:t xml:space="preserve"> </w:t>
      </w:r>
      <w:r>
        <w:t xml:space="preserve">without a source or</w:t>
      </w:r>
      <w:r>
        <w:t xml:space="preserve"> </w:t>
      </w:r>
      <w:r>
        <w:t xml:space="preserve">a direct statement from the lab. Literature numbers are not cited until checked against the</w:t>
      </w:r>
      <w:r>
        <w:t xml:space="preserve"> </w:t>
      </w:r>
      <w:r>
        <w:t xml:space="preserve">papers.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 is never assumed.</w:t>
      </w:r>
      <w:r>
        <w:t xml:space="preserve"> </w:t>
      </w:r>
      <w:r>
        <w:t xml:space="preserve">No plan depends on hardware not confirmed present. This is why</w:t>
      </w:r>
      <w:r>
        <w:t xml:space="preserve"> </w:t>
      </w:r>
      <w:r>
        <w:t xml:space="preserve">the task suite is tiered.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Safety.</w:t>
      </w:r>
      <w:r>
        <w:t xml:space="preserve"> </w:t>
      </w:r>
      <w:r>
        <w:t xml:space="preserve">The humanoid is never operated alone — two people present, e-stop within reach.</w:t>
      </w:r>
    </w:p>
    <w:bookmarkEnd w:id="19"/>
    <w:bookmarkStart w:id="20" w:name="a-note-on-sources"/>
    <w:p>
      <w:pPr>
        <w:pStyle w:val="Heading2"/>
      </w:pPr>
      <w:r>
        <w:t xml:space="preserve">A note on sources</w:t>
      </w:r>
    </w:p>
    <w:p>
      <w:pPr>
        <w:pStyle w:val="FirstParagraph"/>
      </w:pPr>
      <w:r>
        <w:t xml:space="preserve">The vendor brochure underlying the translation is Unitree Robotics material and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redistributed here</w:t>
      </w:r>
      <w:r>
        <w:t xml:space="preserve">; it is kept locally and excluded from version control. Personal notes,</w:t>
      </w:r>
      <w:r>
        <w:t xml:space="preserve"> </w:t>
      </w:r>
      <w:r>
        <w:t xml:space="preserve">supervision notes and lab machine configuration are likewise local-only.</w:t>
      </w:r>
    </w:p>
    <w:bookmarkEnd w:id="20"/>
    <w:bookmarkEnd w:id="21"/>
    <w:bookmarkStart w:id="30" w:name="research-context-established-facts"/>
    <w:p>
      <w:pPr>
        <w:pStyle w:val="Heading1"/>
      </w:pPr>
      <w:r>
        <w:t xml:space="preserve">Research context — established facts</w:t>
      </w:r>
    </w:p>
    <w:p>
      <w:pPr>
        <w:pStyle w:val="FirstParagraph"/>
      </w:pPr>
      <w:r>
        <w:t xml:space="preserve">Everything in this file is treated as settled. It is the shared baseline for</w:t>
      </w:r>
      <w:r>
        <w:t xml:space="preserve"> </w:t>
      </w:r>
      <w:hyperlink r:id="rId9">
        <w:r>
          <w:rPr>
            <w:rStyle w:val="VerbatimChar"/>
          </w:rPr>
          <w:t xml:space="preserve">01-thesis-proposal.md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VerbatimChar"/>
          </w:rPr>
          <w:t xml:space="preserve">02-open-questions.md</w:t>
        </w:r>
      </w:hyperlink>
      <w:r>
        <w:t xml:space="preserve">.</w:t>
      </w:r>
      <w:r>
        <w:t xml:space="preserve"> </w:t>
      </w:r>
      <w:r>
        <w:t xml:space="preserve">Each claim is labelled so that nothing unverified is silently promoted to fact: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[CONFIRMED]</w:t>
      </w:r>
      <w:r>
        <w:t xml:space="preserve"> </w:t>
      </w:r>
      <w:r>
        <w:t xml:space="preserve">— stated directly by the lab, or read off the hardware.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[VENDOR]</w:t>
      </w:r>
      <w:r>
        <w:t xml:space="preserve"> </w:t>
      </w:r>
      <w:r>
        <w:t xml:space="preserve">— from Unitree product documentation or the bench brochure.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[UNVERIFIED]</w:t>
      </w:r>
      <w:r>
        <w:t xml:space="preserve"> </w:t>
      </w:r>
      <w:r>
        <w:t xml:space="preserve">— working belief from prior reading.</w:t>
      </w:r>
      <w:r>
        <w:t xml:space="preserve"> </w:t>
      </w:r>
      <w:r>
        <w:rPr>
          <w:b/>
          <w:bCs/>
        </w:rPr>
        <w:t xml:space="preserve">Must be checked before citing.</w:t>
      </w:r>
    </w:p>
    <w:p>
      <w:r>
        <w:pict>
          <v:rect style="width:0;height:1.5pt" o:hralign="center" o:hrstd="t" o:hr="t"/>
        </w:pict>
      </w:r>
    </w:p>
    <w:bookmarkStart w:id="22" w:name="the-correction-that-reframes-the-project"/>
    <w:p>
      <w:pPr>
        <w:pStyle w:val="Heading2"/>
      </w:pPr>
      <w:r>
        <w:t xml:space="preserve">1. The correction that reframes the project</w:t>
      </w:r>
    </w:p>
    <w:p>
      <w:pPr>
        <w:pStyle w:val="FirstParagraph"/>
      </w:pPr>
      <w:r>
        <w:t xml:space="preserve">The project began from a 6-page Chinese sales brochure, translated in full in</w:t>
      </w:r>
      <w:r>
        <w:t xml:space="preserve"> </w:t>
      </w:r>
      <w:hyperlink r:id="rId14">
        <w:r>
          <w:rPr>
            <w:rStyle w:val="VerbatimChar"/>
          </w:rPr>
          <w:t xml:space="preserve">reference/bench-brochure-translation.md</w:t>
        </w:r>
      </w:hyperlink>
      <w:r>
        <w:t xml:space="preserve">.</w:t>
      </w:r>
    </w:p>
    <w:p>
      <w:pPr>
        <w:pStyle w:val="BodyText"/>
      </w:pPr>
      <w:r>
        <w:t xml:space="preserve">Two things about that brochure matter, and both are easy to get wrong: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describes a workbench, not a robot.</w:t>
      </w:r>
      <w:r>
        <w:t xml:space="preserve"> </w:t>
      </w:r>
      <w:r>
        <w:t xml:space="preserve">The product is model SXT-LK-R1-1: a</w:t>
      </w:r>
      <w:r>
        <w:t xml:space="preserve"> </w:t>
      </w:r>
      <w:r>
        <w:t xml:space="preserve">1450 × 800 × 1300 mm bench with a protective gantry, AC power and e-stop panel, a cut-away</w:t>
      </w:r>
      <w:r>
        <w:t xml:space="preserve"> </w:t>
      </w:r>
      <w:r>
        <w:t xml:space="preserve">motor display, a host PC, and a microphone/speaker array. The humanoid itself never appears</w:t>
      </w:r>
      <w:r>
        <w:t xml:space="preserve"> </w:t>
      </w:r>
      <w:r>
        <w:t xml:space="preserve">in any equipment list in the document.</w:t>
      </w:r>
      <w:r>
        <w:t xml:space="preserve"> </w:t>
      </w:r>
      <w:r>
        <w:rPr>
          <w:b/>
          <w:bCs/>
        </w:rPr>
        <w:t xml:space="preserve">[VENDOR]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describes the wrong robot line.</w:t>
      </w:r>
      <w:r>
        <w:t xml:space="preserve"> </w:t>
      </w:r>
      <w:r>
        <w:t xml:space="preserve">The brochure names</w:t>
      </w:r>
      <w:r>
        <w:t xml:space="preserve"> </w:t>
      </w:r>
      <w:r>
        <w:rPr>
          <w:b/>
          <w:bCs/>
        </w:rPr>
        <w:t xml:space="preserve">R1</w:t>
      </w:r>
      <w:r>
        <w:t xml:space="preserve"> </w:t>
      </w:r>
      <w:r>
        <w:t xml:space="preserve">five times and</w:t>
      </w:r>
      <w:r>
        <w:t xml:space="preserve"> </w:t>
      </w:r>
      <w:r>
        <w:rPr>
          <w:b/>
          <w:bCs/>
        </w:rPr>
        <w:t xml:space="preserve">G1</w:t>
      </w:r>
      <w:r>
        <w:t xml:space="preserve"> </w:t>
      </w:r>
      <w:r>
        <w:t xml:space="preserve">zero</w:t>
      </w:r>
      <w:r>
        <w:t xml:space="preserve"> </w:t>
      </w:r>
      <w:r>
        <w:t xml:space="preserve">times.</w:t>
      </w:r>
      <w:r>
        <w:t xml:space="preserve"> </w:t>
      </w:r>
      <w:r>
        <w:rPr>
          <w:b/>
          <w:bCs/>
        </w:rPr>
        <w:t xml:space="preserve">[VENDOR]</w:t>
      </w:r>
    </w:p>
    <w:p>
      <w:pPr>
        <w:pStyle w:val="FirstParagraph"/>
      </w:pPr>
      <w:r>
        <w:t xml:space="preserve">The lab’s actual robot is a</w:t>
      </w:r>
      <w:r>
        <w:t xml:space="preserve"> </w:t>
      </w:r>
      <w:r>
        <w:rPr>
          <w:b/>
          <w:bCs/>
        </w:rPr>
        <w:t xml:space="preserve">G1</w:t>
      </w:r>
      <w:r>
        <w:t xml:space="preserve">.</w:t>
      </w:r>
      <w:r>
        <w:t xml:space="preserve"> </w:t>
      </w:r>
      <w:r>
        <w:rPr>
          <w:b/>
          <w:bCs/>
        </w:rPr>
        <w:t xml:space="preserve">[CONFIRMED]</w:t>
      </w:r>
      <w:r>
        <w:t xml:space="preserve"> </w:t>
      </w:r>
      <w:r>
        <w:t xml:space="preserve">So the brochure is background material about</w:t>
      </w:r>
      <w:r>
        <w:t xml:space="preserve"> </w:t>
      </w:r>
      <w:r>
        <w:t xml:space="preserve">a product line the thesis does not use. It is kept in</w:t>
      </w:r>
      <w:r>
        <w:t xml:space="preserve"> </w:t>
      </w:r>
      <w:r>
        <w:rPr>
          <w:rStyle w:val="VerbatimChar"/>
        </w:rPr>
        <w:t xml:space="preserve">reference/</w:t>
      </w:r>
      <w:r>
        <w:t xml:space="preserve"> </w:t>
      </w:r>
      <w:r>
        <w:t xml:space="preserve">for traceability and is not</w:t>
      </w:r>
      <w:r>
        <w:t xml:space="preserve"> </w:t>
      </w:r>
      <w:r>
        <w:t xml:space="preserve">the basis for anything.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an entire earlier plan — motor fundamentals → motion control → LiDAR/SLAM</w:t>
      </w:r>
      <w:r>
        <w:t xml:space="preserve"> </w:t>
      </w:r>
      <w:r>
        <w:t xml:space="preserve">→ gripper/ACT capstone — was derived from this brochure. It was built on the wrong robot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at the wrong layer (see §3). That plan is superseded.</w:t>
      </w:r>
    </w:p>
    <w:bookmarkEnd w:id="22"/>
    <w:bookmarkStart w:id="25" w:name="hardware-actually-in-the-lab-confirmed"/>
    <w:p>
      <w:pPr>
        <w:pStyle w:val="Heading2"/>
      </w:pPr>
      <w:r>
        <w:t xml:space="preserve">2. Hardware actually in the lab</w:t>
      </w:r>
      <w:r>
        <w:t xml:space="preserve"> </w:t>
      </w:r>
      <w:r>
        <w:rPr>
          <w:b/>
          <w:bCs/>
        </w:rPr>
        <w:t xml:space="preserve">[CONFIRMED]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Unitree</w:t>
            </w:r>
            <w:r>
              <w:t xml:space="preserve"> </w:t>
            </w:r>
            <w:r>
              <w:rPr>
                <w:b/>
                <w:bCs/>
              </w:rPr>
              <w:t xml:space="preserve">G1</w:t>
            </w:r>
            <w:r>
              <w:t xml:space="preserve"> </w:t>
            </w:r>
            <w:r>
              <w:t xml:space="preserve">humanoid</w:t>
            </w:r>
          </w:p>
        </w:tc>
        <w:tc>
          <w:tcPr/>
          <w:p>
            <w:pPr>
              <w:pStyle w:val="Compact"/>
            </w:pPr>
            <w:r>
              <w:t xml:space="preserve">Present,</w:t>
            </w:r>
            <w:r>
              <w:t xml:space="preserve"> </w:t>
            </w:r>
            <w:r>
              <w:rPr>
                <w:b/>
                <w:bCs/>
              </w:rPr>
              <w:t xml:space="preserve">EDU</w:t>
            </w:r>
          </w:p>
        </w:tc>
        <w:tc>
          <w:tcPr/>
          <w:p>
            <w:pPr>
              <w:pStyle w:val="Compact"/>
            </w:pPr>
            <w:r>
              <w:t xml:space="preserve">The machine currently in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its hands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Fake / decorative</w:t>
            </w:r>
          </w:p>
        </w:tc>
        <w:tc>
          <w:tcPr/>
          <w:p>
            <w:pPr>
              <w:pStyle w:val="Compact"/>
            </w:pPr>
            <w:r>
              <w:t xml:space="preserve">Non-functional end effectors. Drives the task design in §5 of the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second G1</w:t>
            </w:r>
            <w:r>
              <w:t xml:space="preserve"> </w:t>
            </w:r>
            <w:r>
              <w:t xml:space="preserve">with 17-joint hands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Availability to this project</w:t>
            </w:r>
            <w:r>
              <w:t xml:space="preserve"> </w:t>
            </w:r>
            <w:r>
              <w:rPr>
                <w:b/>
                <w:bCs/>
              </w:rPr>
              <w:t xml:space="preserve">not yet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Three-finger movable hand</w:t>
            </w:r>
          </w:p>
        </w:tc>
        <w:tc>
          <w:tcPr/>
          <w:p>
            <w:pPr>
              <w:pStyle w:val="Compact"/>
            </w:pPr>
            <w:r>
              <w:t xml:space="preserve">Present,</w:t>
            </w:r>
            <w:r>
              <w:t xml:space="preserve"> </w:t>
            </w:r>
            <w:r>
              <w:rPr>
                <w:b/>
                <w:bCs/>
              </w:rPr>
              <w:t xml:space="preserve">detached</w:t>
            </w:r>
          </w:p>
        </w:tc>
        <w:tc>
          <w:tcPr/>
          <w:p>
            <w:pPr>
              <w:pStyle w:val="Compact"/>
            </w:pPr>
            <w:r>
              <w:t xml:space="preserve">Permitted in principle to attach to the fake-hand G1; not yet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dogs (quadrupeds)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All EDU</w:t>
            </w:r>
            <w:r>
              <w:t xml:space="preserve"> </w:t>
            </w:r>
            <w:r>
              <w:rPr>
                <w:b/>
                <w:bCs/>
              </w:rPr>
              <w:t xml:space="preserve">except</w:t>
            </w:r>
            <w:r>
              <w:t xml:space="preserve"> </w:t>
            </w:r>
            <w:r>
              <w:t xml:space="preserve">the smallest, which is not EDU</w:t>
            </w:r>
          </w:p>
        </w:tc>
      </w:tr>
    </w:tbl>
    <w:p>
      <w:pPr>
        <w:pStyle w:val="BodyText"/>
      </w:pPr>
      <w:r>
        <w:rPr>
          <w:b/>
          <w:bCs/>
        </w:rPr>
        <w:t xml:space="preserve">EDU is the decisive label.</w:t>
      </w:r>
      <w:r>
        <w:t xml:space="preserve"> </w:t>
      </w:r>
      <w:r>
        <w:t xml:space="preserve">Only EDU editions support secondary development — own code, own</w:t>
      </w:r>
      <w:r>
        <w:t xml:space="preserve"> </w:t>
      </w:r>
      <w:r>
        <w:t xml:space="preserve">algorithms, SDK and ROS 2 access. Basic and Air editions ship locked and are demonstration-only.</w:t>
      </w:r>
      <w:r>
        <w:t xml:space="preserve"> </w:t>
      </w:r>
      <w:r>
        <w:rPr>
          <w:b/>
          <w:bCs/>
        </w:rPr>
        <w:t xml:space="preserve">[VENDOR]</w:t>
      </w:r>
      <w:r>
        <w:t xml:space="preserve"> </w:t>
      </w:r>
      <w:r>
        <w:t xml:space="preserve">The lab being almost entirely EDU is what makes research possible here at all.</w:t>
      </w:r>
    </w:p>
    <w:p>
      <w:pPr>
        <w:pStyle w:val="BodyText"/>
      </w:pPr>
      <w:r>
        <w:rPr>
          <w:b/>
          <w:bCs/>
        </w:rPr>
        <w:t xml:space="preserve">G1 EDU configuration [VENDOR]:</w:t>
      </w:r>
      <w:r>
        <w:t xml:space="preserve"> </w:t>
      </w:r>
      <w:r>
        <w:t xml:space="preserve">NVIDIA Jetson</w:t>
      </w:r>
      <w:r>
        <w:t xml:space="preserve"> </w:t>
      </w:r>
      <w:r>
        <w:rPr>
          <w:b/>
          <w:bCs/>
        </w:rPr>
        <w:t xml:space="preserve">Orin NX</w:t>
      </w:r>
      <w:r>
        <w:t xml:space="preserve"> </w:t>
      </w:r>
      <w:r>
        <w:t xml:space="preserve">high-compute module as standard,</w:t>
      </w:r>
      <w:r>
        <w:t xml:space="preserve"> </w:t>
      </w:r>
      <w:r>
        <w:t xml:space="preserve">3D LiDAR and depth camera included, optional Dex3-1 three-finger dexterous hand (7 DoF per hand),</w:t>
      </w:r>
      <w:r>
        <w:t xml:space="preserve"> </w:t>
      </w:r>
      <w:r>
        <w:t xml:space="preserve">knee torque to 120 N·m, arm payload 3 kg. Non-EDU G1 drops the Orin module and rates lower</w:t>
      </w:r>
      <w:r>
        <w:t xml:space="preserve"> </w:t>
      </w:r>
      <w:r>
        <w:t xml:space="preserve">(90 N·m, 2 kg).</w:t>
      </w:r>
    </w:p>
    <w:bookmarkStart w:id="23" w:name="network-confirmed"/>
    <w:p>
      <w:pPr>
        <w:pStyle w:val="Heading3"/>
      </w:pPr>
      <w:r>
        <w:t xml:space="preserve">Network</w:t>
      </w:r>
      <w:r>
        <w:t xml:space="preserve"> </w:t>
      </w:r>
      <w:r>
        <w:rPr>
          <w:b/>
          <w:bCs/>
        </w:rPr>
        <w:t xml:space="preserve">[CONFIRMED]</w:t>
      </w:r>
    </w:p>
    <w:p>
      <w:pPr>
        <w:pStyle w:val="FirstParagraph"/>
      </w:pPr>
      <w:r>
        <w:t xml:space="preserve">The host machine sits on Unitree’s standard</w:t>
      </w:r>
      <w:r>
        <w:t xml:space="preserve"> </w:t>
      </w:r>
      <w:r>
        <w:rPr>
          <w:rStyle w:val="VerbatimChar"/>
        </w:rPr>
        <w:t xml:space="preserve">192.168.123.x</w:t>
      </w:r>
      <w:r>
        <w:t xml:space="preserve"> </w:t>
      </w:r>
      <w:r>
        <w:t xml:space="preserve">robot subnet with a manual/static</w:t>
      </w:r>
      <w:r>
        <w:t xml:space="preserve"> </w:t>
      </w:r>
      <w:r>
        <w:t xml:space="preserve">address,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mask and a</w:t>
      </w:r>
      <w:r>
        <w:t xml:space="preserve"> </w:t>
      </w:r>
      <w:r>
        <w:rPr>
          <w:rStyle w:val="VerbatimChar"/>
        </w:rPr>
        <w:t xml:space="preserve">.1</w:t>
      </w:r>
      <w:r>
        <w:t xml:space="preserve"> </w:t>
      </w:r>
      <w:r>
        <w:t xml:space="preserve">gateway — a conventional bring-up. The number that</w:t>
      </w:r>
      <w:r>
        <w:t xml:space="preserve"> </w:t>
      </w:r>
      <w:r>
        <w:t xml:space="preserve">matters for this thesis is the link speed:</w:t>
      </w:r>
      <w:r>
        <w:t xml:space="preserve"> </w:t>
      </w:r>
      <w:r>
        <w:rPr>
          <w:b/>
          <w:bCs/>
        </w:rPr>
        <w:t xml:space="preserve">100 / 100 Mbps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100 Mbps is comfortable for control messages and marginal for streaming</w:t>
      </w:r>
      <w:r>
        <w:t xml:space="preserve"> </w:t>
      </w:r>
      <w:r>
        <w:t xml:space="preserve">camera frames off-robot. It is a real argument for keeping policy inference</w:t>
      </w:r>
      <w:r>
        <w:t xml:space="preserve"> </w:t>
      </w:r>
      <w:r>
        <w:rPr>
          <w:b/>
          <w:bCs/>
        </w:rPr>
        <w:t xml:space="preserve">onboard</w:t>
      </w:r>
      <w:r>
        <w:t xml:space="preserve">, and it</w:t>
      </w:r>
      <w:r>
        <w:t xml:space="preserve"> </w:t>
      </w:r>
      <w:r>
        <w:t xml:space="preserve">makes</w:t>
      </w:r>
      <w:r>
        <w:t xml:space="preserve"> </w:t>
      </w:r>
      <w:r>
        <w:t xml:space="preserve">“onboard vs off-board”</w:t>
      </w:r>
      <w:r>
        <w:t xml:space="preserve"> </w:t>
      </w:r>
      <w:r>
        <w:t xml:space="preserve">a measurable question rather than a preference. This is used</w:t>
      </w:r>
      <w:r>
        <w:t xml:space="preserve"> </w:t>
      </w:r>
      <w:r>
        <w:t xml:space="preserve">directly in the proposal.</w:t>
      </w:r>
    </w:p>
    <w:bookmarkEnd w:id="23"/>
    <w:bookmarkStart w:id="24" w:name="safety-rules-confirmed"/>
    <w:p>
      <w:pPr>
        <w:pStyle w:val="Heading3"/>
      </w:pPr>
      <w:r>
        <w:t xml:space="preserve">Safety rules</w:t>
      </w:r>
      <w:r>
        <w:t xml:space="preserve"> </w:t>
      </w:r>
      <w:r>
        <w:rPr>
          <w:b/>
          <w:bCs/>
        </w:rPr>
        <w:t xml:space="preserve">[CONFIRMED]</w:t>
      </w:r>
    </w:p>
    <w:p>
      <w:pPr>
        <w:pStyle w:val="Compact"/>
        <w:numPr>
          <w:ilvl w:val="0"/>
          <w:numId w:val="1005"/>
        </w:numPr>
      </w:pPr>
      <w:r>
        <w:t xml:space="preserve">Robot dog: may be worked on alone.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Humanoid: two people must be present.</w:t>
      </w:r>
      <w:r>
        <w:t xml:space="preserve"> </w:t>
      </w:r>
      <w:r>
        <w:t xml:space="preserve">E-stop within reach.</w:t>
      </w:r>
    </w:p>
    <w:p>
      <w:pPr>
        <w:pStyle w:val="Compact"/>
        <w:numPr>
          <w:ilvl w:val="0"/>
          <w:numId w:val="1005"/>
        </w:numPr>
      </w:pPr>
      <w:r>
        <w:t xml:space="preserve">Extra caution on the dexterous-hand G1, which is rarely used by anyone in the lab.</w:t>
      </w:r>
    </w:p>
    <w:p>
      <w:pPr>
        <w:pStyle w:val="FirstParagraph"/>
      </w:pPr>
      <w:r>
        <w:rPr>
          <w:b/>
          <w:bCs/>
        </w:rPr>
        <w:t xml:space="preserve">Why it matters beyond safety:</w:t>
      </w:r>
      <w:r>
        <w:t xml:space="preserve"> </w:t>
      </w:r>
      <w:r>
        <w:t xml:space="preserve">the two-person rule makes robot time a</w:t>
      </w:r>
      <w:r>
        <w:t xml:space="preserve"> </w:t>
      </w:r>
      <w:r>
        <w:rPr>
          <w:i/>
          <w:iCs/>
        </w:rPr>
        <w:t xml:space="preserve">scheduled, scarce</w:t>
      </w:r>
      <w:r>
        <w:rPr>
          <w:i/>
          <w:iCs/>
        </w:rPr>
        <w:t xml:space="preserve"> </w:t>
      </w:r>
      <w:r>
        <w:rPr>
          <w:i/>
          <w:iCs/>
        </w:rPr>
        <w:t xml:space="preserve">resource</w:t>
      </w:r>
      <w:r>
        <w:t xml:space="preserve">. Any plan that needs long unsupervised sessions is not executable here, which is a</w:t>
      </w:r>
      <w:r>
        <w:t xml:space="preserve"> </w:t>
      </w:r>
      <w:r>
        <w:t xml:space="preserve">further argument for short, scripted, instrumented runs.</w:t>
      </w:r>
    </w:p>
    <w:bookmarkEnd w:id="24"/>
    <w:bookmarkEnd w:id="25"/>
    <w:bookmarkStart w:id="26" w:name="X6d441dcf87df31e1b43b11242ca64e7e478995d"/>
    <w:p>
      <w:pPr>
        <w:pStyle w:val="Heading2"/>
      </w:pPr>
      <w:r>
        <w:t xml:space="preserve">3. Supervision — what can and cannot be guided</w:t>
      </w:r>
      <w:r>
        <w:t xml:space="preserve"> </w:t>
      </w:r>
      <w:r>
        <w:rPr>
          <w:b/>
          <w:bCs/>
        </w:rPr>
        <w:t xml:space="preserve">[CONFIRMED]</w:t>
      </w:r>
    </w:p>
    <w:p>
      <w:pPr>
        <w:pStyle w:val="FirstParagraph"/>
      </w:pPr>
      <w:r>
        <w:t xml:space="preserve">Day-to-day guidance is available for the</w:t>
      </w:r>
      <w:r>
        <w:t xml:space="preserve"> </w:t>
      </w:r>
      <w:r>
        <w:rPr>
          <w:b/>
          <w:bCs/>
        </w:rPr>
        <w:t xml:space="preserve">decision-making layer</w:t>
      </w:r>
      <w:r>
        <w:t xml:space="preserve">: large-model agents</w:t>
      </w:r>
      <w:r>
        <w:t xml:space="preserve"> </w:t>
      </w:r>
      <w:r>
        <w:t xml:space="preserve">integrated with robots, i.e. </w:t>
      </w:r>
      <w:r>
        <w:rPr>
          <w:b/>
          <w:bCs/>
        </w:rPr>
        <w:t xml:space="preserve">Vision-Language-Action (VLA)</w:t>
      </w:r>
      <w:r>
        <w:t xml:space="preserve">.</w:t>
      </w:r>
    </w:p>
    <w:p>
      <w:pPr>
        <w:pStyle w:val="BodyText"/>
      </w:pPr>
      <w:r>
        <w:t xml:space="preserve">Guidance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available for:</w:t>
      </w:r>
    </w:p>
    <w:p>
      <w:pPr>
        <w:pStyle w:val="Compact"/>
        <w:numPr>
          <w:ilvl w:val="0"/>
          <w:numId w:val="1006"/>
        </w:numPr>
      </w:pPr>
      <w:r>
        <w:t xml:space="preserve">low-level control algorithms,</w:t>
      </w:r>
    </w:p>
    <w:p>
      <w:pPr>
        <w:pStyle w:val="Compact"/>
        <w:numPr>
          <w:ilvl w:val="0"/>
          <w:numId w:val="1006"/>
        </w:numPr>
      </w:pPr>
      <w:r>
        <w:t xml:space="preserve">simulation engineering (MuJoCo / Isaac Gym),</w:t>
      </w:r>
    </w:p>
    <w:p>
      <w:pPr>
        <w:pStyle w:val="Compact"/>
        <w:numPr>
          <w:ilvl w:val="0"/>
          <w:numId w:val="1006"/>
        </w:numPr>
      </w:pPr>
      <w:r>
        <w:t xml:space="preserve">Action Grid, which is outside the group’s work.</w:t>
      </w:r>
    </w:p>
    <w:p>
      <w:pPr>
        <w:pStyle w:val="FirstParagraph"/>
      </w:pPr>
      <w:r>
        <w:rPr>
          <w:b/>
          <w:bCs/>
        </w:rPr>
        <w:t xml:space="preserve">Why this is the single most important constraint in the project.</w:t>
      </w:r>
      <w:r>
        <w:t xml:space="preserve"> </w:t>
      </w:r>
      <w:r>
        <w:t xml:space="preserve">A thesis is defensible</w:t>
      </w:r>
      <w:r>
        <w:t xml:space="preserve"> </w:t>
      </w:r>
      <w:r>
        <w:t xml:space="preserve">largely because a supervisor can judge it. Work that sits outside the supervisor’s area has to</w:t>
      </w:r>
      <w:r>
        <w:t xml:space="preserve"> </w:t>
      </w:r>
      <w:r>
        <w:t xml:space="preserve">be carried alone, and a non-robotics student carrying a control or simulation thesis alone is</w:t>
      </w:r>
      <w:r>
        <w:t xml:space="preserve"> </w:t>
      </w:r>
      <w:r>
        <w:t xml:space="preserve">the main foreseeable way this fails. The thesis therefore lives in the VLA / decision /</w:t>
      </w:r>
      <w:r>
        <w:t xml:space="preserve"> </w:t>
      </w:r>
      <w:r>
        <w:t xml:space="preserve">evaluation layer, and treats any simulation or control work as optional and self-supported.</w:t>
      </w:r>
    </w:p>
    <w:bookmarkEnd w:id="26"/>
    <w:bookmarkStart w:id="27" w:name="technical-reference-carried-forward"/>
    <w:p>
      <w:pPr>
        <w:pStyle w:val="Heading2"/>
      </w:pPr>
      <w:r>
        <w:t xml:space="preserve">4. Technical reference carried forward</w:t>
      </w:r>
    </w:p>
    <w:p>
      <w:pPr>
        <w:pStyle w:val="FirstParagraph"/>
      </w:pPr>
      <w:r>
        <w:t xml:space="preserve">The motion API is documented in</w:t>
      </w:r>
      <w:r>
        <w:t xml:space="preserve"> </w:t>
      </w:r>
      <w:hyperlink r:id="rId15">
        <w:r>
          <w:rPr>
            <w:rStyle w:val="VerbatimChar"/>
          </w:rPr>
          <w:t xml:space="preserve">reference/sport-services-api.md</w:t>
        </w:r>
      </w:hyperlink>
      <w:r>
        <w:t xml:space="preserve">: DDS service</w:t>
      </w:r>
      <w:r>
        <w:t xml:space="preserve"> </w:t>
      </w:r>
      <w:r>
        <w:rPr>
          <w:rStyle w:val="VerbatimChar"/>
        </w:rPr>
        <w:t xml:space="preserve">sport</w:t>
      </w:r>
      <w:r>
        <w:t xml:space="preserve">,</w:t>
      </w:r>
      <w:r>
        <w:t xml:space="preserve"> </w:t>
      </w:r>
      <w:r>
        <w:t xml:space="preserve">client class</w:t>
      </w:r>
      <w:r>
        <w:t xml:space="preserve"> </w:t>
      </w:r>
      <w:r>
        <w:rPr>
          <w:rStyle w:val="VerbatimChar"/>
        </w:rPr>
        <w:t xml:space="preserve">LocoClient</w:t>
      </w:r>
      <w:r>
        <w:t xml:space="preserve">, getters in 7001–7006, setters in 7101–7107, control switching at</w:t>
      </w:r>
      <w:r>
        <w:t xml:space="preserve"> </w:t>
      </w:r>
      <w:r>
        <w:t xml:space="preserve">7110/7111, plus friendly wrappers (</w:t>
      </w:r>
      <w:r>
        <w:rPr>
          <w:rStyle w:val="VerbatimChar"/>
        </w:rPr>
        <w:t xml:space="preserve">Damp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StandUp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WaveHand</w:t>
      </w:r>
      <w:r>
        <w:t xml:space="preserve">, …).</w:t>
      </w:r>
      <w:r>
        <w:t xml:space="preserve"> </w:t>
      </w:r>
      <w:r>
        <w:t xml:space="preserve">“Deploying a</w:t>
      </w:r>
      <w:r>
        <w:t xml:space="preserve"> </w:t>
      </w:r>
      <w:r>
        <w:t xml:space="preserve">predefined motion”</w:t>
      </w:r>
      <w:r>
        <w:t xml:space="preserve"> </w:t>
      </w:r>
      <w:r>
        <w:t xml:space="preserve">means selecting an FSM or task id and sending it.</w:t>
      </w:r>
    </w:p>
    <w:p>
      <w:pPr>
        <w:pStyle w:val="BodyText"/>
      </w:pPr>
      <w:r>
        <w:rPr>
          <w:b/>
          <w:bCs/>
        </w:rPr>
        <w:t xml:space="preserve">Why it is kept but demoted:</w:t>
      </w:r>
      <w:r>
        <w:t xml:space="preserve"> </w:t>
      </w:r>
      <w:r>
        <w:t xml:space="preserve">the thesis needs a way to make the robot move safely and</w:t>
      </w:r>
      <w:r>
        <w:t xml:space="preserve"> </w:t>
      </w:r>
      <w:r>
        <w:t xml:space="preserve">repeatably, and this is it. But the API surface is genuinely small, so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it is a means,</w:t>
      </w:r>
      <w:r>
        <w:t xml:space="preserve"> </w:t>
      </w:r>
      <w:r>
        <w:t xml:space="preserve">not a contribution. Treating it as the thesis was the earlier mistake.</w:t>
      </w:r>
    </w:p>
    <w:p>
      <w:pPr>
        <w:pStyle w:val="BodyText"/>
      </w:pPr>
      <w:r>
        <w:t xml:space="preserve">R1 and G1 share</w:t>
      </w:r>
      <w:r>
        <w:t xml:space="preserve"> </w:t>
      </w:r>
      <w:r>
        <w:rPr>
          <w:rStyle w:val="VerbatimChar"/>
        </w:rPr>
        <w:t xml:space="preserve">unitree_sdk2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unitree_sdk2_python</w:t>
      </w:r>
      <w:r>
        <w:t xml:space="preserve">, CycloneDDS and the</w:t>
      </w:r>
      <w:r>
        <w:t xml:space="preserve"> </w:t>
      </w:r>
      <w:r>
        <w:rPr>
          <w:rStyle w:val="VerbatimChar"/>
        </w:rPr>
        <w:t xml:space="preserve">192.168.123.x</w:t>
      </w:r>
      <w:r>
        <w:t xml:space="preserve"> </w:t>
      </w:r>
      <w:r>
        <w:t xml:space="preserve">layout, but differ in joint count, URDF and partly in API — so R1 examples are a guide, not a</w:t>
      </w:r>
      <w:r>
        <w:t xml:space="preserve"> </w:t>
      </w:r>
      <w:r>
        <w:t xml:space="preserve">drop-in.</w:t>
      </w:r>
      <w:r>
        <w:t xml:space="preserve"> </w:t>
      </w:r>
      <w:r>
        <w:rPr>
          <w:b/>
          <w:bCs/>
        </w:rPr>
        <w:t xml:space="preserve">[VENDOR]</w:t>
      </w:r>
    </w:p>
    <w:bookmarkEnd w:id="27"/>
    <w:bookmarkStart w:id="28" w:name="Xde0301eec2bc97468457ff7331bcc815ff0d4f1"/>
    <w:p>
      <w:pPr>
        <w:pStyle w:val="Heading2"/>
      </w:pPr>
      <w:r>
        <w:t xml:space="preserve">5. Literature figures —</w:t>
      </w:r>
      <w:r>
        <w:t xml:space="preserve"> </w:t>
      </w:r>
      <w:r>
        <w:rPr>
          <w:b/>
          <w:bCs/>
        </w:rPr>
        <w:t xml:space="preserve">[UNVERIFIED]</w:t>
      </w:r>
      <w:r>
        <w:t xml:space="preserve">, do not cite yet</w:t>
      </w:r>
    </w:p>
    <w:p>
      <w:pPr>
        <w:pStyle w:val="FirstParagraph"/>
      </w:pPr>
      <w:r>
        <w:t xml:space="preserve">Carried from earlier reading, recorded so they are not lost, flagged so they are not misused:</w:t>
      </w:r>
    </w:p>
    <w:p>
      <w:pPr>
        <w:pStyle w:val="Compact"/>
        <w:numPr>
          <w:ilvl w:val="0"/>
          <w:numId w:val="1007"/>
        </w:numPr>
      </w:pPr>
      <w:r>
        <w:t xml:space="preserve">~50 Hz onboard closed-loop VLA demonstrated on G1 with Orin NX.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POT-VLA</w:t>
      </w:r>
      <w:r>
        <w:t xml:space="preserve"> </w:t>
      </w:r>
      <w:r>
        <w:t xml:space="preserve">formalised</w:t>
      </w:r>
      <w:r>
        <w:t xml:space="preserve"> </w:t>
      </w:r>
      <w:r>
        <w:t xml:space="preserve">“object-state divergence”</w:t>
      </w:r>
      <w:r>
        <w:t xml:space="preserve"> </w:t>
      </w:r>
      <w:r>
        <w:t xml:space="preserve">and reported 39/80 → 71/80 success.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DEED</w:t>
      </w:r>
      <w:r>
        <w:t xml:space="preserve"> </w:t>
      </w:r>
      <w:r>
        <w:t xml:space="preserve">reported data-efficient post-training taking a task 0% → 32%, framing it as a</w:t>
      </w:r>
      <w:r>
        <w:t xml:space="preserve"> </w:t>
      </w:r>
      <w:r>
        <w:t xml:space="preserve">systems-integration problem rather than an architecture problem.</w:t>
      </w:r>
    </w:p>
    <w:p>
      <w:pPr>
        <w:pStyle w:val="FirstParagraph"/>
      </w:pPr>
      <w:r>
        <w:rPr>
          <w:b/>
          <w:bCs/>
        </w:rPr>
        <w:t xml:space="preserve">None of these has been checked against the source papers.</w:t>
      </w:r>
      <w:r>
        <w:t xml:space="preserve"> </w:t>
      </w:r>
      <w:r>
        <w:t xml:space="preserve">They are not load-bearing: the</w:t>
      </w:r>
      <w:r>
        <w:t xml:space="preserve"> </w:t>
      </w:r>
      <w:r>
        <w:t xml:space="preserve">proposal in</w:t>
      </w:r>
      <w:r>
        <w:t xml:space="preserve"> </w:t>
      </w:r>
      <w:r>
        <w:rPr>
          <w:rStyle w:val="VerbatimChar"/>
        </w:rPr>
        <w:t xml:space="preserve">01-thesis-proposal.md</w:t>
      </w:r>
      <w:r>
        <w:t xml:space="preserve"> </w:t>
      </w:r>
      <w:r>
        <w:t xml:space="preserve">is written so that its motivation stands without them.</w:t>
      </w:r>
      <w:r>
        <w:t xml:space="preserve"> </w:t>
      </w:r>
      <w:r>
        <w:t xml:space="preserve">Verifying them is task V1 in</w:t>
      </w:r>
      <w:r>
        <w:t xml:space="preserve"> </w:t>
      </w:r>
      <w:r>
        <w:rPr>
          <w:rStyle w:val="VerbatimChar"/>
        </w:rPr>
        <w:t xml:space="preserve">02-open-questions.md</w:t>
      </w:r>
      <w:r>
        <w:t xml:space="preserve">.</w:t>
      </w:r>
    </w:p>
    <w:bookmarkEnd w:id="28"/>
    <w:bookmarkStart w:id="29" w:name="standing-rules"/>
    <w:p>
      <w:pPr>
        <w:pStyle w:val="Heading2"/>
      </w:pPr>
      <w:r>
        <w:t xml:space="preserve">6. Standing rules</w:t>
      </w:r>
    </w:p>
    <w:p>
      <w:pPr>
        <w:pStyle w:val="Compact"/>
        <w:numPr>
          <w:ilvl w:val="0"/>
          <w:numId w:val="1008"/>
        </w:numPr>
      </w:pPr>
      <w:r>
        <w:t xml:space="preserve">Never run the humanoid alone; two people, e-stop in reach.</w:t>
      </w:r>
    </w:p>
    <w:p>
      <w:pPr>
        <w:pStyle w:val="Compact"/>
        <w:numPr>
          <w:ilvl w:val="0"/>
          <w:numId w:val="1008"/>
        </w:numPr>
      </w:pPr>
      <w:r>
        <w:t xml:space="preserve">Never propose work that depends on hardware not confirmed present.</w:t>
      </w:r>
    </w:p>
    <w:p>
      <w:pPr>
        <w:pStyle w:val="Compact"/>
        <w:numPr>
          <w:ilvl w:val="0"/>
          <w:numId w:val="1008"/>
        </w:numPr>
      </w:pPr>
      <w:r>
        <w:t xml:space="preserve">Never assume in-group support for control or simulation.</w:t>
      </w:r>
    </w:p>
    <w:p>
      <w:pPr>
        <w:pStyle w:val="Compact"/>
        <w:numPr>
          <w:ilvl w:val="0"/>
          <w:numId w:val="1008"/>
        </w:numPr>
      </w:pPr>
      <w:r>
        <w:t xml:space="preserve">The thesis must answer a question with a measurable result. A learning log is not a thesis.</w:t>
      </w:r>
    </w:p>
    <w:p>
      <w:pPr>
        <w:pStyle w:val="Compact"/>
        <w:numPr>
          <w:ilvl w:val="0"/>
          <w:numId w:val="1008"/>
        </w:numPr>
      </w:pPr>
      <w:r>
        <w:t xml:space="preserve">All repository documents in English.</w:t>
      </w:r>
    </w:p>
    <w:p>
      <w:pPr>
        <w:pStyle w:val="Compact"/>
        <w:numPr>
          <w:ilvl w:val="0"/>
          <w:numId w:val="1008"/>
        </w:numPr>
      </w:pPr>
      <w:r>
        <w:t xml:space="preserve">Verify literature numbers before citing.</w:t>
      </w:r>
    </w:p>
    <w:bookmarkEnd w:id="29"/>
    <w:bookmarkEnd w:id="30"/>
    <w:bookmarkStart w:id="43" w:name="thesis-proposal"/>
    <w:p>
      <w:pPr>
        <w:pStyle w:val="Heading1"/>
      </w:pPr>
      <w:r>
        <w:t xml:space="preserve">Thesis proposal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 direction, ready to take to the supervisor. Not yet agreed with the lab.</w:t>
      </w:r>
      <w:r>
        <w:t xml:space="preserve"> </w:t>
      </w:r>
      <w:r>
        <w:t xml:space="preserve">Baseline facts in</w:t>
      </w:r>
      <w:r>
        <w:t xml:space="preserve"> </w:t>
      </w:r>
      <w:hyperlink r:id="rId13">
        <w:r>
          <w:rPr>
            <w:rStyle w:val="VerbatimChar"/>
          </w:rPr>
          <w:t xml:space="preserve">00-research-context.md</w:t>
        </w:r>
      </w:hyperlink>
      <w:r>
        <w:t xml:space="preserve">; everything still to be</w:t>
      </w:r>
      <w:r>
        <w:t xml:space="preserve"> </w:t>
      </w:r>
      <w:r>
        <w:t xml:space="preserve">confirmed is in</w:t>
      </w:r>
      <w:r>
        <w:t xml:space="preserve"> </w:t>
      </w:r>
      <w:hyperlink r:id="rId11">
        <w:r>
          <w:rPr>
            <w:rStyle w:val="VerbatimChar"/>
          </w:rPr>
          <w:t xml:space="preserve">02-open-questions.md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34" w:name="the-decision-and-why"/>
    <w:p>
      <w:pPr>
        <w:pStyle w:val="Heading2"/>
      </w:pPr>
      <w:r>
        <w:t xml:space="preserve">1. The decision, and why</w:t>
      </w:r>
    </w:p>
    <w:bookmarkStart w:id="31" w:name="working-title"/>
    <w:p>
      <w:pPr>
        <w:pStyle w:val="Heading3"/>
      </w:pPr>
      <w:r>
        <w:t xml:space="preserve">Working title</w:t>
      </w:r>
    </w:p>
    <w:p>
      <w:pPr>
        <w:pStyle w:val="BlockText"/>
      </w:pPr>
      <w:r>
        <w:rPr>
          <w:b/>
          <w:bCs/>
        </w:rPr>
        <w:t xml:space="preserve">Latency-Bounded Deployment of Vision-Language-Action Policies on a Humanoid Robot:</w:t>
      </w:r>
      <w:r>
        <w:rPr>
          <w:b/>
          <w:bCs/>
        </w:rPr>
        <w:t xml:space="preserve"> </w:t>
      </w:r>
      <w:r>
        <w:rPr>
          <w:b/>
          <w:bCs/>
        </w:rPr>
        <w:t xml:space="preserve">action representation, compute placement, and closed-loop task success on the Unitree G1 EDU</w:t>
      </w:r>
    </w:p>
    <w:p>
      <w:pPr>
        <w:pStyle w:val="FirstParagraph"/>
      </w:pPr>
      <w:r>
        <w:t xml:space="preserve">Short form:</w:t>
      </w:r>
      <w:r>
        <w:t xml:space="preserve"> </w:t>
      </w:r>
      <w:r>
        <w:rPr>
          <w:i/>
          <w:iCs/>
        </w:rPr>
        <w:t xml:space="preserve">How fast must a humanoid think?</w:t>
      </w:r>
    </w:p>
    <w:bookmarkEnd w:id="31"/>
    <w:bookmarkStart w:id="32" w:name="the-one-sentence-question"/>
    <w:p>
      <w:pPr>
        <w:pStyle w:val="Heading3"/>
      </w:pPr>
      <w:r>
        <w:t xml:space="preserve">The one-sentence question</w:t>
      </w:r>
    </w:p>
    <w:p>
      <w:pPr>
        <w:pStyle w:val="FirstParagraph"/>
      </w:pPr>
      <w:r>
        <w:rPr>
          <w:b/>
          <w:bCs/>
        </w:rPr>
        <w:t xml:space="preserve">A VLA policy that is accurate offline is not necessarily usable on a robot, because the robot</w:t>
      </w:r>
      <w:r>
        <w:rPr>
          <w:b/>
          <w:bCs/>
        </w:rPr>
        <w:t xml:space="preserve"> </w:t>
      </w:r>
      <w:r>
        <w:rPr>
          <w:b/>
          <w:bCs/>
        </w:rPr>
        <w:t xml:space="preserve">keeps moving while the policy thinks — so where is the latency budget, and what does spending it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differently cost in task success?</w:t>
      </w:r>
    </w:p>
    <w:bookmarkEnd w:id="32"/>
    <w:bookmarkStart w:id="33" w:name="why-this-question-and-not-another"/>
    <w:p>
      <w:pPr>
        <w:pStyle w:val="Heading3"/>
      </w:pPr>
      <w:r>
        <w:t xml:space="preserve">Why this question and not another</w:t>
      </w:r>
    </w:p>
    <w:p>
      <w:pPr>
        <w:pStyle w:val="FirstParagraph"/>
      </w:pPr>
      <w:r>
        <w:t xml:space="preserve">Three candidate directions were on the table. All three sit inside the supervisor’s VLA /</w:t>
      </w:r>
      <w:r>
        <w:t xml:space="preserve"> </w:t>
      </w:r>
      <w:r>
        <w:t xml:space="preserve">decision-making layer, so all three are supervisable. They differ almost entirely in</w:t>
      </w:r>
      <w:r>
        <w:t xml:space="preserve"> </w:t>
      </w:r>
      <w:r>
        <w:rPr>
          <w:b/>
          <w:bCs/>
        </w:rPr>
        <w:t xml:space="preserve">how many</w:t>
      </w:r>
      <w:r>
        <w:rPr>
          <w:b/>
          <w:bCs/>
        </w:rPr>
        <w:t xml:space="preserve"> </w:t>
      </w:r>
      <w:r>
        <w:rPr>
          <w:b/>
          <w:bCs/>
        </w:rPr>
        <w:t xml:space="preserve">unconfirmed things they depend on</w:t>
      </w:r>
      <w:r>
        <w:t xml:space="preserve">, and that is what decides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Latency &amp; action representation</w:t>
            </w:r>
            <w:r>
              <w:t xml:space="preserve"> </w:t>
            </w:r>
            <w:r>
              <w:rPr>
                <w:i/>
                <w:iCs/>
              </w:rP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B. Object-state divergence</w:t>
            </w:r>
          </w:p>
        </w:tc>
        <w:tc>
          <w:tcPr/>
          <w:p>
            <w:pPr>
              <w:pStyle w:val="Compact"/>
            </w:pPr>
            <w:r>
              <w:t xml:space="preserve">C. Data curation for post-training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 supervisor’s area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working hands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(see §3)</w:t>
            </w:r>
          </w:p>
        </w:tc>
        <w:tc>
          <w:tcPr/>
          <w:p>
            <w:pPr>
              <w:pStyle w:val="Compact"/>
            </w:pPr>
            <w:r>
              <w:t xml:space="preserve">Partly — push tasks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demonstration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must be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post-training compute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unconfirmed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RGB-D perception pipeline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simulation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Fails outright if a dependency is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see §6</w:t>
            </w:r>
          </w:p>
        </w:tc>
        <w:tc>
          <w:tcPr/>
          <w:p>
            <w:pPr>
              <w:pStyle w:val="Compact"/>
            </w:pPr>
            <w:r>
              <w:t xml:space="preserve">Possibly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Plays to a non-robotics student’s strengths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Strongly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deciding argument.</w:t>
      </w:r>
      <w:r>
        <w:t xml:space="preserve"> </w:t>
      </w:r>
      <w:r>
        <w:t xml:space="preserve">Every one of the three options needs the same thing first:</w:t>
      </w:r>
      <w:r>
        <w:t xml:space="preserve"> </w:t>
      </w:r>
      <w:r>
        <w:rPr>
          <w:i/>
          <w:iCs/>
        </w:rPr>
        <w:t xml:space="preserve">a VLA</w:t>
      </w:r>
      <w:r>
        <w:rPr>
          <w:i/>
          <w:iCs/>
        </w:rPr>
        <w:t xml:space="preserve"> </w:t>
      </w:r>
      <w:r>
        <w:rPr>
          <w:i/>
          <w:iCs/>
        </w:rPr>
        <w:t xml:space="preserve">policy actually running on this robot.</w:t>
      </w:r>
      <w:r>
        <w:t xml:space="preserve"> </w:t>
      </w:r>
      <w:r>
        <w:t xml:space="preserve">Nobody in the lab has confirmed that exists yet. Options</w:t>
      </w:r>
      <w:r>
        <w:t xml:space="preserve"> </w:t>
      </w:r>
      <w:r>
        <w:t xml:space="preserve">B and C treat that bring-up as unpaid setup work before the real thesis begins. Option A</w:t>
      </w:r>
      <w:r>
        <w:t xml:space="preserve"> </w:t>
      </w:r>
      <w:r>
        <w:rPr>
          <w:b/>
          <w:bCs/>
        </w:rPr>
        <w:t xml:space="preserve">makes</w:t>
      </w:r>
      <w:r>
        <w:rPr>
          <w:b/>
          <w:bCs/>
        </w:rPr>
        <w:t xml:space="preserve"> </w:t>
      </w:r>
      <w:r>
        <w:rPr>
          <w:b/>
          <w:bCs/>
        </w:rPr>
        <w:t xml:space="preserve">the bring-up itself the object of study</w:t>
      </w:r>
      <w:r>
        <w:t xml:space="preserve"> </w:t>
      </w:r>
      <w:r>
        <w:t xml:space="preserve">— the measurement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contribution. That is the</w:t>
      </w:r>
      <w:r>
        <w:t xml:space="preserve"> </w:t>
      </w:r>
      <w:r>
        <w:t xml:space="preserve">difference between a thesis that starts producing results in month two and one that is still</w:t>
      </w:r>
      <w:r>
        <w:t xml:space="preserve"> </w:t>
      </w:r>
      <w:r>
        <w:t xml:space="preserve">setting up in month six.</w:t>
      </w:r>
    </w:p>
    <w:p>
      <w:pPr>
        <w:pStyle w:val="BodyText"/>
      </w:pPr>
      <w:r>
        <w:rPr>
          <w:b/>
          <w:bCs/>
        </w:rPr>
        <w:t xml:space="preserve">The second argument is about who is writing it.</w:t>
      </w:r>
      <w:r>
        <w:t xml:space="preserve"> </w:t>
      </w:r>
      <w:r>
        <w:t xml:space="preserve">This is not a control-engineering thesis and</w:t>
      </w:r>
      <w:r>
        <w:t xml:space="preserve"> </w:t>
      </w:r>
      <w:r>
        <w:t xml:space="preserve">should not pretend to be. Its contribution is an evaluation protocol, a measurement harness, a</w:t>
      </w:r>
      <w:r>
        <w:t xml:space="preserve"> </w:t>
      </w:r>
      <w:r>
        <w:t xml:space="preserve">failure taxonomy and a deployment guideline — methodology and systematic characterisation. That</w:t>
      </w:r>
      <w:r>
        <w:t xml:space="preserve"> </w:t>
      </w:r>
      <w:r>
        <w:t xml:space="preserve">is squarely what this student is good at, and it is a recognised class of contribution in</w:t>
      </w:r>
      <w:r>
        <w:t xml:space="preserve"> </w:t>
      </w:r>
      <w:r>
        <w:t xml:space="preserve">robotics rather than a consolation prize.</w:t>
      </w:r>
    </w:p>
    <w:p>
      <w:pPr>
        <w:pStyle w:val="BodyText"/>
      </w:pPr>
      <w:r>
        <w:rPr>
          <w:b/>
          <w:bCs/>
        </w:rPr>
        <w:t xml:space="preserve">Why B and C are not discarded.</w:t>
      </w:r>
      <w:r>
        <w:t xml:space="preserve"> </w:t>
      </w:r>
      <w:r>
        <w:t xml:space="preserve">They are the natural follow-ons. Option A produces the</w:t>
      </w:r>
      <w:r>
        <w:t xml:space="preserve"> </w:t>
      </w:r>
      <w:r>
        <w:t xml:space="preserve">instrumented platform and the failure taxonomy that B needs, and the latency/representation</w:t>
      </w:r>
      <w:r>
        <w:t xml:space="preserve"> </w:t>
      </w:r>
      <w:r>
        <w:t xml:space="preserve">baseline that C needs. Sequenced as A → B → C, this is a Master’s thesis with a PhD programme</w:t>
      </w:r>
      <w:r>
        <w:t xml:space="preserve"> </w:t>
      </w:r>
      <w:r>
        <w:t xml:space="preserve">behind it rather than three competing ideas. See §8.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search-questions"/>
    <w:p>
      <w:pPr>
        <w:pStyle w:val="Heading2"/>
      </w:pPr>
      <w:r>
        <w:t xml:space="preserve">2. Research questions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RQ1 — Where does the time actually go?</w:t>
      </w:r>
      <w:r>
        <w:t xml:space="preserve"> </w:t>
      </w:r>
      <w:r>
        <w:t xml:space="preserve">How does end-to-end closed-loop latency decompose</w:t>
      </w:r>
      <w:r>
        <w:t xml:space="preserve"> </w:t>
      </w:r>
      <w:r>
        <w:t xml:space="preserve">across image capture, preprocessing, policy inference, action decoding, and command</w:t>
      </w:r>
      <w:r>
        <w:t xml:space="preserve"> </w:t>
      </w:r>
      <w:r>
        <w:t xml:space="preserve">transmission on the G1 EDU, and which stage dominates?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RQ2 — What does the action representation cost?</w:t>
      </w:r>
      <w:r>
        <w:t xml:space="preserve"> </w:t>
      </w:r>
      <w:r>
        <w:t xml:space="preserve">How do discrete action tokens versus a</w:t>
      </w:r>
      <w:r>
        <w:t xml:space="preserve"> </w:t>
      </w:r>
      <w:r>
        <w:t xml:space="preserve">continuous action head, and different action-chunk lengths, trade inference latency against</w:t>
      </w:r>
      <w:r>
        <w:t xml:space="preserve"> </w:t>
      </w:r>
      <w:r>
        <w:t xml:space="preserve">closed-loop task success?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RQ3 — Is there a latency cliff?</w:t>
      </w:r>
      <w:r>
        <w:t xml:space="preserve"> </w:t>
      </w:r>
      <w:r>
        <w:t xml:space="preserve">As control latency is increased in controlled steps, does</w:t>
      </w:r>
      <w:r>
        <w:t xml:space="preserve"> </w:t>
      </w:r>
      <w:r>
        <w:t xml:space="preserve">task success degrade smoothly or collapse past a threshold — and does that threshold move with</w:t>
      </w:r>
      <w:r>
        <w:t xml:space="preserve"> </w:t>
      </w:r>
      <w:r>
        <w:t xml:space="preserve">task speed and with compute placement (onboard Orin NX vs off-board workstation over the lab’s</w:t>
      </w:r>
      <w:r>
        <w:t xml:space="preserve"> </w:t>
      </w:r>
      <w:r>
        <w:t xml:space="preserve">100 Mbps link)?</w:t>
      </w:r>
    </w:p>
    <w:p>
      <w:pPr>
        <w:pStyle w:val="FirstParagraph"/>
      </w:pPr>
      <w:r>
        <w:t xml:space="preserve">RQ1 is descriptive and essentially cannot fail. RQ2 is the main experiment. RQ3 is the one most</w:t>
      </w:r>
      <w:r>
        <w:t xml:space="preserve"> </w:t>
      </w:r>
      <w:r>
        <w:t xml:space="preserve">likely to produce a result worth publishing on its own, because a measured latency threshold is</w:t>
      </w:r>
      <w:r>
        <w:t xml:space="preserve"> </w:t>
      </w:r>
      <w:r>
        <w:t xml:space="preserve">exactly the kind of number practitioners need and rarely have.</w:t>
      </w:r>
    </w:p>
    <w:bookmarkEnd w:id="35"/>
    <w:bookmarkStart w:id="36" w:name="X4cf1bacbdc97bff5ca0c5179fd5d8d35b4fdb40"/>
    <w:p>
      <w:pPr>
        <w:pStyle w:val="Heading2"/>
      </w:pPr>
      <w:r>
        <w:t xml:space="preserve">3. Task suite — designed around the hands problem</w:t>
      </w:r>
    </w:p>
    <w:p>
      <w:pPr>
        <w:pStyle w:val="FirstParagraph"/>
      </w:pPr>
      <w:r>
        <w:t xml:space="preserve">The G1 in daily use has</w:t>
      </w:r>
      <w:r>
        <w:t xml:space="preserve"> </w:t>
      </w:r>
      <w:r>
        <w:rPr>
          <w:b/>
          <w:bCs/>
        </w:rPr>
        <w:t xml:space="preserve">non-functional hands</w:t>
      </w:r>
      <w:r>
        <w:t xml:space="preserve">. Rather than make the thesis wait on an</w:t>
      </w:r>
      <w:r>
        <w:t xml:space="preserve"> </w:t>
      </w:r>
      <w:r>
        <w:t xml:space="preserve">unconfirmed hand, the task suite is</w:t>
      </w:r>
      <w:r>
        <w:t xml:space="preserve"> </w:t>
      </w:r>
      <w:r>
        <w:rPr>
          <w:b/>
          <w:bCs/>
        </w:rPr>
        <w:t xml:space="preserve">tiered</w:t>
      </w:r>
      <w:r>
        <w:t xml:space="preserve">, and the thesis is complete at Tier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non-prehensile</w:t>
            </w:r>
          </w:p>
        </w:tc>
        <w:tc>
          <w:tcPr/>
          <w:p>
            <w:pPr>
              <w:pStyle w:val="Compact"/>
            </w:pPr>
            <w:r>
              <w:t xml:space="preserve">reach-to-target, point-at-named-object, push-object-to-goal, nudge-without-toppling</w:t>
            </w:r>
          </w:p>
        </w:tc>
        <w:tc>
          <w:tcPr/>
          <w:p>
            <w:pPr>
              <w:pStyle w:val="Compact"/>
            </w:pPr>
            <w:r>
              <w:t xml:space="preserve">Arms and vision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Runnable on confirmed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simple grasp</w:t>
            </w:r>
          </w:p>
        </w:tc>
        <w:tc>
          <w:tcPr/>
          <w:p>
            <w:pPr>
              <w:pStyle w:val="Compact"/>
            </w:pPr>
            <w:r>
              <w:t xml:space="preserve">pick-and-place of a graspable object</w:t>
            </w:r>
          </w:p>
        </w:tc>
        <w:tc>
          <w:tcPr/>
          <w:p>
            <w:pPr>
              <w:pStyle w:val="Compact"/>
            </w:pPr>
            <w:r>
              <w:t xml:space="preserve">Three-finger hand attached, or access to the 17-joint G1</w:t>
            </w:r>
          </w:p>
        </w:tc>
        <w:tc>
          <w:tcPr/>
          <w:p>
            <w:pPr>
              <w:pStyle w:val="Compact"/>
            </w:pPr>
            <w:r>
              <w:t xml:space="preserve">Gated on Q1/Q2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dexterous</w:t>
            </w:r>
          </w:p>
        </w:tc>
        <w:tc>
          <w:tcPr/>
          <w:p>
            <w:pPr>
              <w:pStyle w:val="Compact"/>
            </w:pPr>
            <w:r>
              <w:t xml:space="preserve">in-hand reorientation, multi-object sequencing</w:t>
            </w:r>
          </w:p>
        </w:tc>
        <w:tc>
          <w:tcPr/>
          <w:p>
            <w:pPr>
              <w:pStyle w:val="Compact"/>
            </w:pPr>
            <w:r>
              <w:t xml:space="preserve">17-joint hand, sustained access</w:t>
            </w:r>
          </w:p>
        </w:tc>
        <w:tc>
          <w:tcPr/>
          <w:p>
            <w:pPr>
              <w:pStyle w:val="Compact"/>
            </w:pPr>
            <w:r>
              <w:t xml:space="preserve">Unlikely; out of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tiering rather than picking one.</w:t>
      </w:r>
      <w:r>
        <w:t xml:space="preserve"> </w:t>
      </w:r>
      <w:r>
        <w:t xml:space="preserve">It removes the project’s single largest dependency</w:t>
      </w:r>
      <w:r>
        <w:t xml:space="preserve"> </w:t>
      </w:r>
      <w:r>
        <w:t xml:space="preserve">without giving up ambition. Tier 1 answers all three research questions on its own — latency and</w:t>
      </w:r>
      <w:r>
        <w:t xml:space="preserve"> </w:t>
      </w:r>
      <w:r>
        <w:t xml:space="preserve">action representation are not properties of the gripper. If a hand becomes available, Tier 2 adds</w:t>
      </w:r>
      <w:r>
        <w:t xml:space="preserve"> </w:t>
      </w:r>
      <w:r>
        <w:t xml:space="preserve">a generalisation result; if it never does, nothing is lost. This is the main reason this proposal</w:t>
      </w:r>
      <w:r>
        <w:t xml:space="preserve"> </w:t>
      </w:r>
      <w:r>
        <w:t xml:space="preserve">is low-risk, and it is why the recommendation is Option A</w:t>
      </w:r>
      <w:r>
        <w:t xml:space="preserve"> </w:t>
      </w:r>
      <w:r>
        <w:rPr>
          <w:i/>
          <w:iCs/>
        </w:rPr>
        <w:t xml:space="preserve">as refined here</w:t>
      </w:r>
      <w:r>
        <w:t xml:space="preserve"> </w:t>
      </w:r>
      <w:r>
        <w:t xml:space="preserve">rather than Option A</w:t>
      </w:r>
      <w:r>
        <w:t xml:space="preserve"> </w:t>
      </w:r>
      <w:r>
        <w:t xml:space="preserve">as originally framed, which assumed manipulation.</w:t>
      </w:r>
    </w:p>
    <w:p>
      <w:pPr>
        <w:pStyle w:val="BodyText"/>
      </w:pPr>
      <w:r>
        <w:rPr>
          <w:b/>
          <w:bCs/>
        </w:rPr>
        <w:t xml:space="preserve">Why non-prehensile tasks are scientifically adequate.</w:t>
      </w:r>
      <w:r>
        <w:t xml:space="preserve"> </w:t>
      </w:r>
      <w:r>
        <w:t xml:space="preserve">Pushing is a genuine closed-loop</w:t>
      </w:r>
      <w:r>
        <w:t xml:space="preserve"> </w:t>
      </w:r>
      <w:r>
        <w:t xml:space="preserve">control problem with contact dynamics and continuous visual feedback — the object keeps moving</w:t>
      </w:r>
      <w:r>
        <w:t xml:space="preserve"> </w:t>
      </w:r>
      <w:r>
        <w:t xml:space="preserve">after contact, so stale actions have visible consequences. That is precisely the regime where</w:t>
      </w:r>
      <w:r>
        <w:t xml:space="preserve"> </w:t>
      </w:r>
      <w:r>
        <w:t xml:space="preserve">latency should matter, which makes Tier 1 arguably a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probe for RQ3 than slow pick-and-place.</w:t>
      </w:r>
    </w:p>
    <w:bookmarkEnd w:id="36"/>
    <w:bookmarkStart w:id="37" w:name="method"/>
    <w:p>
      <w:pPr>
        <w:pStyle w:val="Heading2"/>
      </w:pPr>
      <w:r>
        <w:t xml:space="preserve">4. Method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Instrument before changing anything.</w:t>
      </w:r>
      <w:r>
        <w:t xml:space="preserve"> </w:t>
      </w:r>
      <w:r>
        <w:t xml:space="preserve">Build a timestamping harness that tags each stage of</w:t>
      </w:r>
      <w:r>
        <w:t xml:space="preserve"> </w:t>
      </w:r>
      <w:r>
        <w:t xml:space="preserve">the loop and logs to a single clock. Nothing else in the thesis is trustworthy without this,</w:t>
      </w:r>
      <w:r>
        <w:t xml:space="preserve"> </w:t>
      </w:r>
      <w:r>
        <w:t xml:space="preserve">and it is buildable before any hardware access.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Establish a safe, repeatable motion substrate</w:t>
      </w:r>
      <w:r>
        <w:t xml:space="preserve"> </w:t>
      </w:r>
      <w:r>
        <w:t xml:space="preserve">using the documented</w:t>
      </w:r>
      <w:r>
        <w:t xml:space="preserve"> </w:t>
      </w:r>
      <w:r>
        <w:rPr>
          <w:rStyle w:val="VerbatimChar"/>
        </w:rPr>
        <w:t xml:space="preserve">sport</w:t>
      </w:r>
      <w:r>
        <w:t xml:space="preserve"> </w:t>
      </w:r>
      <w:r>
        <w:t xml:space="preserve">service and</w:t>
      </w:r>
      <w:r>
        <w:t xml:space="preserve"> </w:t>
      </w:r>
      <w:r>
        <w:rPr>
          <w:rStyle w:val="VerbatimChar"/>
        </w:rPr>
        <w:t xml:space="preserve">LocoClient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VerbatimChar"/>
          </w:rPr>
          <w:t xml:space="preserve">reference/sport-services-api.md</w:t>
        </w:r>
      </w:hyperlink>
      <w:r>
        <w:t xml:space="preserve">), with</w:t>
      </w:r>
      <w:r>
        <w:t xml:space="preserve"> </w:t>
      </w:r>
      <w:r>
        <w:t xml:space="preserve">e-stop procedure and a fixed reset routine between trials.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Bring up one VLA policy</w:t>
      </w:r>
      <w:r>
        <w:t xml:space="preserve"> </w:t>
      </w:r>
      <w:r>
        <w:t xml:space="preserve">on the model stack the group already uses — this is gate G1 in</w:t>
      </w:r>
      <w:r>
        <w:t xml:space="preserve"> </w:t>
      </w:r>
      <w:r>
        <w:rPr>
          <w:rStyle w:val="VerbatimChar"/>
        </w:rPr>
        <w:t xml:space="preserve">02-open-questions.md</w:t>
      </w:r>
      <w:r>
        <w:t xml:space="preserve">, and the choice of model follows the group, not the other way round.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Measure RQ1</w:t>
      </w:r>
      <w:r>
        <w:t xml:space="preserve"> </w:t>
      </w:r>
      <w:r>
        <w:t xml:space="preserve">— latency decomposition over repeated trials, per task, per tier.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Measure RQ2</w:t>
      </w:r>
      <w:r>
        <w:t xml:space="preserve"> </w:t>
      </w:r>
      <w:r>
        <w:t xml:space="preserve">— hold task, scene and policy weights fixed; vary action representation and</w:t>
      </w:r>
      <w:r>
        <w:t xml:space="preserve"> </w:t>
      </w:r>
      <w:r>
        <w:t xml:space="preserve">chunk length; record latency and success.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Measure RQ3</w:t>
      </w:r>
      <w:r>
        <w:t xml:space="preserve"> </w:t>
      </w:r>
      <w:r>
        <w:t xml:space="preserve">— inject controlled additional latency in steps and locate the degradation</w:t>
      </w:r>
      <w:r>
        <w:t xml:space="preserve"> </w:t>
      </w:r>
      <w:r>
        <w:t xml:space="preserve">curve; repeat with compute placed onboard and off-board.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 the failure taxonomy</w:t>
      </w:r>
      <w:r>
        <w:t xml:space="preserve"> </w:t>
      </w:r>
      <w:r>
        <w:t xml:space="preserve">from logged trials — including whether a failure was a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error or a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error. This distinction is the thesis’s conceptual contribution and the</w:t>
      </w:r>
      <w:r>
        <w:t xml:space="preserve"> </w:t>
      </w:r>
      <w:r>
        <w:t xml:space="preserve">bridge to Option B.</w:t>
      </w:r>
    </w:p>
    <w:p>
      <w:pPr>
        <w:pStyle w:val="FirstParagraph"/>
      </w:pPr>
      <w:r>
        <w:rPr>
          <w:b/>
          <w:bCs/>
        </w:rPr>
        <w:t xml:space="preserve">Metrics:</w:t>
      </w:r>
      <w:r>
        <w:t xml:space="preserve"> </w:t>
      </w:r>
      <w:r>
        <w:t xml:space="preserve">per-stage latency distributions (not just means — tails are what break control),</w:t>
      </w:r>
      <w:r>
        <w:t xml:space="preserve"> </w:t>
      </w:r>
      <w:r>
        <w:t xml:space="preserve">end-to-end loop rate, task success rate, and time-to-completion on successful trials. Every</w:t>
      </w:r>
      <w:r>
        <w:t xml:space="preserve"> </w:t>
      </w:r>
      <w:r>
        <w:t xml:space="preserve">reported number tied to a logged trial id.</w:t>
      </w:r>
    </w:p>
    <w:bookmarkEnd w:id="37"/>
    <w:bookmarkStart w:id="38" w:name="contributions-claimed"/>
    <w:p>
      <w:pPr>
        <w:pStyle w:val="Heading2"/>
      </w:pPr>
      <w:r>
        <w:t xml:space="preserve">5. Contributions claimed</w:t>
      </w:r>
    </w:p>
    <w:p>
      <w:pPr>
        <w:pStyle w:val="Compact"/>
        <w:numPr>
          <w:ilvl w:val="0"/>
          <w:numId w:val="1011"/>
        </w:numPr>
      </w:pPr>
      <w:r>
        <w:t xml:space="preserve">A reproducible</w:t>
      </w:r>
      <w:r>
        <w:t xml:space="preserve"> </w:t>
      </w:r>
      <w:r>
        <w:rPr>
          <w:b/>
          <w:bCs/>
        </w:rPr>
        <w:t xml:space="preserve">evaluation protocol and open harness</w:t>
      </w:r>
      <w:r>
        <w:t xml:space="preserve"> </w:t>
      </w:r>
      <w:r>
        <w:t xml:space="preserve">for latency-resolved VLA evaluation on</w:t>
      </w:r>
      <w:r>
        <w:t xml:space="preserve"> </w:t>
      </w:r>
      <w:r>
        <w:t xml:space="preserve">a commercial humanoid.</w:t>
      </w:r>
    </w:p>
    <w:p>
      <w:pPr>
        <w:pStyle w:val="Compact"/>
        <w:numPr>
          <w:ilvl w:val="0"/>
          <w:numId w:val="101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empirical characterisation</w:t>
      </w:r>
      <w:r>
        <w:t xml:space="preserve"> </w:t>
      </w:r>
      <w:r>
        <w:t xml:space="preserve">of the latency/success frontier on real hardware.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deployment guideline</w:t>
      </w:r>
      <w:r>
        <w:t xml:space="preserve">: which action representation and chunk length under which compute</w:t>
      </w:r>
      <w:r>
        <w:t xml:space="preserve"> </w:t>
      </w:r>
      <w:r>
        <w:t xml:space="preserve">budget and placement.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failure taxonomy</w:t>
      </w:r>
      <w:r>
        <w:t xml:space="preserve"> </w:t>
      </w:r>
      <w:r>
        <w:t xml:space="preserve">separating policy error from timing error.</w:t>
      </w:r>
    </w:p>
    <w:p>
      <w:pPr>
        <w:pStyle w:val="FirstParagraph"/>
      </w:pPr>
      <w:r>
        <w:t xml:space="preserve">These are deliberately modest and checkable. A Master’s thesis is judged on whether the claim is</w:t>
      </w:r>
      <w:r>
        <w:t xml:space="preserve"> </w:t>
      </w:r>
      <w:r>
        <w:t xml:space="preserve">defended, not on how large the claim is.</w:t>
      </w:r>
    </w:p>
    <w:bookmarkEnd w:id="38"/>
    <w:bookmarkStart w:id="39" w:name="why-this-cannot-fail-outright"/>
    <w:p>
      <w:pPr>
        <w:pStyle w:val="Heading2"/>
      </w:pPr>
      <w:r>
        <w:t xml:space="preserve">6. Why this cannot fail outright</w:t>
      </w:r>
    </w:p>
    <w:p>
      <w:pPr>
        <w:pStyle w:val="FirstParagraph"/>
      </w:pPr>
      <w:r>
        <w:t xml:space="preserve">The largest technical risk is that onboard inference on the Orin NX proves impractical — too</w:t>
      </w:r>
      <w:r>
        <w:t xml:space="preserve"> </w:t>
      </w:r>
      <w:r>
        <w:t xml:space="preserve">slow, or the module is not accessible.</w:t>
      </w:r>
    </w:p>
    <w:p>
      <w:pPr>
        <w:pStyle w:val="BodyText"/>
      </w:pPr>
      <w:r>
        <w:rPr>
          <w:b/>
          <w:bCs/>
        </w:rPr>
        <w:t xml:space="preserve">That outcome is itself RQ3’s result.</w:t>
      </w:r>
      <w:r>
        <w:t xml:space="preserve"> </w:t>
      </w:r>
      <w:r>
        <w:t xml:space="preserve">If inference will not run usefully onboard, the thesis</w:t>
      </w:r>
      <w:r>
        <w:t xml:space="preserve"> </w:t>
      </w:r>
      <w:r>
        <w:t xml:space="preserve">reports the measured reason and moves the policy off-board over the 100 Mbps link, where the</w:t>
      </w:r>
      <w:r>
        <w:t xml:space="preserve"> </w:t>
      </w:r>
      <w:r>
        <w:t xml:space="preserve">added network latency becomes a second experimental condition rather than a dead end. The</w:t>
      </w:r>
      <w:r>
        <w:t xml:space="preserve"> </w:t>
      </w:r>
      <w:r>
        <w:t xml:space="preserve">comparison was always part of the design, so the failure mode is already a chapter.</w:t>
      </w:r>
    </w:p>
    <w:p>
      <w:pPr>
        <w:pStyle w:val="BodyText"/>
      </w:pPr>
      <w:r>
        <w:t xml:space="preserve">This is the main structural reason to prefer this direction. Options B and C have failure modes</w:t>
      </w:r>
      <w:r>
        <w:t xml:space="preserve"> </w:t>
      </w:r>
      <w:r>
        <w:t xml:space="preserve">that produce no result.</w:t>
      </w:r>
    </w:p>
    <w:bookmarkEnd w:id="39"/>
    <w:bookmarkStart w:id="40" w:name="risks-honestly"/>
    <w:p>
      <w:pPr>
        <w:pStyle w:val="Heading2"/>
      </w:pPr>
      <w:r>
        <w:t xml:space="preserve">7. Risks, honestly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VLA stack exists in the group yet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Gate G1. If none, adopt a published open model with documented Jetson deployment; budget bring-up as thesis work, not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Orin NX not accessible / not installed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Gate G2. Off-board condition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time scarce (two-person rule)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Short scripted runs; harness developed and dry-run off-robot; batch trials 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Non-robotics background slows bring-up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Thesis contribution is methodology, not control; keep the motion substrate to documented high-level API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 never become available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Tier 1 is sufficient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framed as</w:t>
            </w:r>
            <w:r>
              <w:t xml:space="preserve"> </w:t>
            </w:r>
            <w:r>
              <w:t xml:space="preserve">“merely engineering”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Lead with the RQ3 threshold result, which is a scientific claim, not an engineering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Unverified literature numbers propagate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Task V1; proposal does not rest on them</w:t>
            </w:r>
          </w:p>
        </w:tc>
      </w:tr>
    </w:tbl>
    <w:bookmarkEnd w:id="40"/>
    <w:bookmarkStart w:id="41" w:name="why-this-is-a-good-base-for-a-phd"/>
    <w:p>
      <w:pPr>
        <w:pStyle w:val="Heading2"/>
      </w:pPr>
      <w:r>
        <w:t xml:space="preserve">8. Why this is a good base for a PhD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problem is live.</w:t>
      </w:r>
      <w:r>
        <w:t xml:space="preserve"> </w:t>
      </w:r>
      <w:r>
        <w:t xml:space="preserve">Real-time, reliable embodied decision-making is a central open problem</w:t>
      </w:r>
      <w:r>
        <w:t xml:space="preserve"> </w:t>
      </w:r>
      <w:r>
        <w:t xml:space="preserve">in deployed VLA, not a niche. Efficiency and latency are where the field is actively moving.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It transfers.</w:t>
      </w:r>
      <w:r>
        <w:t xml:space="preserve"> </w:t>
      </w:r>
      <w:r>
        <w:t xml:space="preserve">A measurement-and-evaluation skill set for VLA systems is portable to any</w:t>
      </w:r>
      <w:r>
        <w:t xml:space="preserve"> </w:t>
      </w:r>
      <w:r>
        <w:t xml:space="preserve">group working on embodied foundation models — it does not lock the student to this lab, this</w:t>
      </w:r>
      <w:r>
        <w:t xml:space="preserve"> </w:t>
      </w:r>
      <w:r>
        <w:t xml:space="preserve">robot, or this model.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It has a natural three-chapter arc.</w:t>
      </w:r>
      <w:r>
        <w:t xml:space="preserve"> </w:t>
      </w:r>
      <w:r>
        <w:t xml:space="preserve">A (this thesis: measure the frontier) → B (act on it:</w:t>
      </w:r>
      <w:r>
        <w:t xml:space="preserve"> </w:t>
      </w:r>
      <w:r>
        <w:t xml:space="preserve">detect object-state divergence and recover within the latency budget) → C (reduce the cost:</w:t>
      </w:r>
      <w:r>
        <w:t xml:space="preserve"> </w:t>
      </w:r>
      <w:r>
        <w:t xml:space="preserve">data-efficient post-training against the measured baseline).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It produces artefacts.</w:t>
      </w:r>
      <w:r>
        <w:t xml:space="preserve"> </w:t>
      </w:r>
      <w:r>
        <w:t xml:space="preserve">An open harness, a protocol and a task suite are citable and</w:t>
      </w:r>
      <w:r>
        <w:t xml:space="preserve"> </w:t>
      </w:r>
      <w:r>
        <w:t xml:space="preserve">reusable, which is disproportionately valuable in a PhD application.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Honest counterweight:</w:t>
      </w:r>
      <w:r>
        <w:t xml:space="preserve"> </w:t>
      </w:r>
      <w:r>
        <w:t xml:space="preserve">benchmark and evaluation papers are sometimes read as lower-novelty</w:t>
      </w:r>
      <w:r>
        <w:t xml:space="preserve"> </w:t>
      </w:r>
      <w:r>
        <w:t xml:space="preserve">than new-architecture papers. The defence is RQ3 — a measured latency threshold with a causal</w:t>
      </w:r>
      <w:r>
        <w:t xml:space="preserve"> </w:t>
      </w:r>
      <w:r>
        <w:t xml:space="preserve">story is a finding, not a report. Keep that result in front.</w:t>
      </w:r>
    </w:p>
    <w:bookmarkEnd w:id="41"/>
    <w:bookmarkStart w:id="42" w:name="indicative-sequence"/>
    <w:p>
      <w:pPr>
        <w:pStyle w:val="Heading2"/>
      </w:pPr>
      <w:r>
        <w:t xml:space="preserve">9. Indicative sequence</w:t>
      </w:r>
    </w:p>
    <w:p>
      <w:pPr>
        <w:pStyle w:val="FirstParagraph"/>
      </w:pPr>
      <w:r>
        <w:t xml:space="preserve">Deliberately expressed as phases, not dates, because the gates in</w:t>
      </w:r>
      <w:r>
        <w:t xml:space="preserve"> </w:t>
      </w:r>
      <w:r>
        <w:rPr>
          <w:rStyle w:val="VerbatimChar"/>
        </w:rPr>
        <w:t xml:space="preserve">02-open-questions.md</w:t>
      </w:r>
      <w:r>
        <w:t xml:space="preserve"> </w:t>
      </w:r>
      <w:r>
        <w:t xml:space="preserve">control</w:t>
      </w:r>
      <w:r>
        <w:t xml:space="preserve"> </w:t>
      </w:r>
      <w:r>
        <w:t xml:space="preserve">the pace and several are outside the student’s control.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Agree direction with supervisor; verify literature (V1); draft related-work section</w:t>
            </w:r>
          </w:p>
        </w:tc>
        <w:tc>
          <w:tcPr/>
          <w:p>
            <w:pPr>
              <w:pStyle w:val="Compact"/>
            </w:pPr>
            <w:r>
              <w:t xml:space="preserve">Nothing —</w:t>
            </w:r>
            <w:r>
              <w:t xml:space="preserve"> </w:t>
            </w:r>
            <w:r>
              <w:rPr>
                <w:b/>
                <w:bCs/>
              </w:rPr>
              <w:t xml:space="preserve">startable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timestamping harness and task-suite spec; dry-run off-robot</w:t>
            </w:r>
          </w:p>
        </w:tc>
        <w:tc>
          <w:tcPr/>
          <w:p>
            <w:pPr>
              <w:pStyle w:val="Compact"/>
            </w:pPr>
            <w:r>
              <w:t xml:space="preserve">Nothing —</w:t>
            </w:r>
            <w:r>
              <w:t xml:space="preserve"> </w:t>
            </w:r>
            <w:r>
              <w:rPr>
                <w:b/>
                <w:bCs/>
              </w:rPr>
              <w:t xml:space="preserve">startable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Robot access, safety induction, motion substrate, first teleoperated/ scripted runs</w:t>
            </w:r>
          </w:p>
        </w:tc>
        <w:tc>
          <w:tcPr/>
          <w:p>
            <w:pPr>
              <w:pStyle w:val="Compact"/>
            </w:pPr>
            <w:r>
              <w:t xml:space="preserve">G3, 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VLA bring-up on the group’s stack</w:t>
            </w:r>
          </w:p>
        </w:tc>
        <w:tc>
          <w:tcPr/>
          <w:p>
            <w:pPr>
              <w:pStyle w:val="Compact"/>
            </w:pPr>
            <w:r>
              <w:t xml:space="preserve">G1, 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RQ1 and RQ2 experiments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RQ3 latency sweep, onboard vs off-board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Failure taxonomy, writing, (optional) Tier 2 extension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Phases 0 and 1 need no hardware, no answers and no permissions.</w:t>
      </w:r>
      <w:r>
        <w:t xml:space="preserve"> </w:t>
      </w:r>
      <w:r>
        <w:t xml:space="preserve">That is where to start today;</w:t>
      </w:r>
      <w:r>
        <w:t xml:space="preserve"> </w:t>
      </w:r>
      <w:r>
        <w:t xml:space="preserve">it is the fastest available path and it de-risks everything after it.</w:t>
      </w:r>
    </w:p>
    <w:bookmarkEnd w:id="42"/>
    <w:bookmarkEnd w:id="43"/>
    <w:bookmarkStart w:id="57" w:name="open-questions-and-decision-gates"/>
    <w:p>
      <w:pPr>
        <w:pStyle w:val="Heading1"/>
      </w:pPr>
      <w:r>
        <w:t xml:space="preserve">Open questions and decision gates</w:t>
      </w:r>
    </w:p>
    <w:p>
      <w:pPr>
        <w:pStyle w:val="FirstParagraph"/>
      </w:pPr>
      <w:r>
        <w:t xml:space="preserve">What is still unknown, what each answer changes, and what can proceed regardless. Ordered by how</w:t>
      </w:r>
      <w:r>
        <w:t xml:space="preserve"> </w:t>
      </w:r>
      <w:r>
        <w:t xml:space="preserve">much they block, not by how interesting they are.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blocks work until answered. A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can be done by the student alone, now.</w:t>
      </w:r>
    </w:p>
    <w:p>
      <w:r>
        <w:pict>
          <v:rect style="width:0;height:1.5pt" o:hralign="center" o:hrstd="t" o:hr="t"/>
        </w:pict>
      </w:r>
    </w:p>
    <w:bookmarkStart w:id="50" w:name="gates-ask-the-lab"/>
    <w:p>
      <w:pPr>
        <w:pStyle w:val="Heading2"/>
      </w:pPr>
      <w:r>
        <w:t xml:space="preserve">Gates — ask the lab</w:t>
      </w:r>
    </w:p>
    <w:bookmarkStart w:id="44" w:name="X826c5433aa85732817dda0f2fb11b9ab0f86ac8"/>
    <w:p>
      <w:pPr>
        <w:pStyle w:val="Heading3"/>
      </w:pPr>
      <w:r>
        <w:t xml:space="preserve">G1. Which VLA stack does the group actually use?</w:t>
      </w:r>
    </w:p>
    <w:p>
      <w:pPr>
        <w:pStyle w:val="FirstParagraph"/>
      </w:pPr>
      <w:r>
        <w:t xml:space="preserve">GR00T, OpenVLA, π0, or something in-house?</w:t>
      </w:r>
    </w:p>
    <w:p>
      <w:pPr>
        <w:pStyle w:val="BodyText"/>
      </w:pPr>
      <w:r>
        <w:rPr>
          <w:b/>
          <w:bCs/>
        </w:rPr>
        <w:t xml:space="preserve">Why it is first.</w:t>
      </w:r>
      <w:r>
        <w:t xml:space="preserve"> </w:t>
      </w:r>
      <w:r>
        <w:t xml:space="preserve">The thesis targets the group’s stack, not a stack chosen in isolation —</w:t>
      </w:r>
      <w:r>
        <w:t xml:space="preserve"> </w:t>
      </w:r>
      <w:r>
        <w:t xml:space="preserve">that is what makes it supervisable and what makes the result useful to the lab. It also decides</w:t>
      </w:r>
      <w:r>
        <w:t xml:space="preserve"> </w:t>
      </w:r>
      <w:r>
        <w:t xml:space="preserve">whether action representation is even a free variable: some stacks fix it, which would reshape</w:t>
      </w:r>
      <w:r>
        <w:t xml:space="preserve"> </w:t>
      </w:r>
      <w:r>
        <w:t xml:space="preserve">RQ2.</w:t>
      </w:r>
    </w:p>
    <w:p>
      <w:pPr>
        <w:pStyle w:val="BodyText"/>
      </w:pPr>
      <w:r>
        <w:rPr>
          <w:b/>
          <w:bCs/>
        </w:rPr>
        <w:t xml:space="preserve">If there is no stack yet:</w:t>
      </w:r>
      <w:r>
        <w:t xml:space="preserve"> </w:t>
      </w:r>
      <w:r>
        <w:t xml:space="preserve">that is not a blocker but it is a scope change. Bring-up of a</w:t>
      </w:r>
      <w:r>
        <w:t xml:space="preserve"> </w:t>
      </w:r>
      <w:r>
        <w:t xml:space="preserve">published open model with documented Jetson deployment then becomes legitimate thesis work</w:t>
      </w:r>
      <w:r>
        <w:t xml:space="preserve"> </w:t>
      </w:r>
      <w:r>
        <w:t xml:space="preserve">rather than unpaid overhead, and the timeline in §9 of the proposal shifts by roughly a phase.</w:t>
      </w:r>
    </w:p>
    <w:bookmarkEnd w:id="44"/>
    <w:bookmarkStart w:id="45" w:name="X1a0fb1c54a6ae465028c882ce9432a799e973d8"/>
    <w:p>
      <w:pPr>
        <w:pStyle w:val="Heading3"/>
      </w:pPr>
      <w:r>
        <w:t xml:space="preserve">G2. Is the Orin NX physically installed and accessible?</w:t>
      </w:r>
    </w:p>
    <w:p>
      <w:pPr>
        <w:pStyle w:val="FirstParagraph"/>
      </w:pPr>
      <w:r>
        <w:t xml:space="preserve">Not</w:t>
      </w:r>
      <w:r>
        <w:t xml:space="preserve"> </w:t>
      </w:r>
      <w:r>
        <w:t xml:space="preserve">“standard on EDU in principle”</w:t>
      </w:r>
      <w:r>
        <w:t xml:space="preserve"> </w:t>
      </w:r>
      <w:r>
        <w:t xml:space="preserve">— actually present, with an account, SSH, and a working</w:t>
      </w:r>
      <w:r>
        <w:t xml:space="preserve"> </w:t>
      </w:r>
      <w:r>
        <w:t xml:space="preserve">ROS 2 / SDK environment.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It decides whether the headline condition is onboard or off-board inference.</w:t>
      </w:r>
      <w:r>
        <w:t xml:space="preserve"> </w:t>
      </w:r>
      <w:r>
        <w:rPr>
          <w:b/>
          <w:bCs/>
        </w:rPr>
        <w:t xml:space="preserve">It does not block the thesis</w:t>
      </w:r>
      <w:r>
        <w:t xml:space="preserve"> </w:t>
      </w:r>
      <w:r>
        <w:t xml:space="preserve">— §6 of the proposal turns a negative answer into an</w:t>
      </w:r>
      <w:r>
        <w:t xml:space="preserve"> </w:t>
      </w:r>
      <w:r>
        <w:t xml:space="preserve">experimental condition — but it changes which result leads.</w:t>
      </w:r>
    </w:p>
    <w:bookmarkEnd w:id="45"/>
    <w:bookmarkStart w:id="46" w:name="X2b85d6ac057fa8107583db2a52aa81d8fbe7d37"/>
    <w:p>
      <w:pPr>
        <w:pStyle w:val="Heading3"/>
      </w:pPr>
      <w:r>
        <w:t xml:space="preserve">G3. Which G1 is available to this project, and is a hand available?</w:t>
      </w:r>
    </w:p>
    <w:p>
      <w:pPr>
        <w:pStyle w:val="FirstParagraph"/>
      </w:pPr>
      <w:r>
        <w:t xml:space="preserve">Is the 17-joint-hand unit the same machine or a separate one, and can this student use it? Is</w:t>
      </w:r>
      <w:r>
        <w:t xml:space="preserve"> </w:t>
      </w:r>
      <w:r>
        <w:t xml:space="preserve">the three-finger hand cleared for attachment</w:t>
      </w:r>
      <w:r>
        <w:t xml:space="preserve"> </w:t>
      </w:r>
      <w:r>
        <w:rPr>
          <w:i/>
          <w:iCs/>
        </w:rPr>
        <w:t xml:space="preserve">in practice</w:t>
      </w:r>
      <w:r>
        <w:t xml:space="preserve">, and who supervises that?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It selects the task tier (proposal §3).</w:t>
      </w:r>
      <w:r>
        <w:t xml:space="preserve"> </w:t>
      </w:r>
      <w:r>
        <w:rPr>
          <w:b/>
          <w:bCs/>
        </w:rPr>
        <w:t xml:space="preserve">Tier 1 proceeds regardless</w:t>
      </w:r>
      <w:r>
        <w:t xml:space="preserve">, so</w:t>
      </w:r>
      <w:r>
        <w:t xml:space="preserve"> </w:t>
      </w:r>
      <w:r>
        <w:t xml:space="preserve">this gate controls ambition, not viability. Worth asking early anyway, because attaching a</w:t>
      </w:r>
      <w:r>
        <w:t xml:space="preserve"> </w:t>
      </w:r>
      <w:r>
        <w:t xml:space="preserve">rarely-used dexterous hand will need scheduling and a second person.</w:t>
      </w:r>
    </w:p>
    <w:bookmarkEnd w:id="46"/>
    <w:bookmarkStart w:id="47" w:name="X5f76e5753b62d46af444599405eaeee924e6cfd"/>
    <w:p>
      <w:pPr>
        <w:pStyle w:val="Heading3"/>
      </w:pPr>
      <w:r>
        <w:t xml:space="preserve">G4. What does robot access look like in practice?</w:t>
      </w:r>
    </w:p>
    <w:p>
      <w:pPr>
        <w:pStyle w:val="FirstParagraph"/>
      </w:pPr>
      <w:r>
        <w:t xml:space="preserve">Account on the bench PC, robot network details, and — given the two-person rule — how sessions</w:t>
      </w:r>
      <w:r>
        <w:t xml:space="preserve"> </w:t>
      </w:r>
      <w:r>
        <w:t xml:space="preserve">are booked and who the second person is.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two-person rule makes robot time the scarcest resource in the project.</w:t>
      </w:r>
      <w:r>
        <w:t xml:space="preserve"> </w:t>
      </w:r>
      <w:r>
        <w:t xml:space="preserve">The experimental design (short, scripted, batched runs) depends on knowing the real shape of it.</w:t>
      </w:r>
    </w:p>
    <w:bookmarkEnd w:id="47"/>
    <w:bookmarkStart w:id="48" w:name="Xbbac08d8a64e0bf4a5c6156828d4473f1438d14"/>
    <w:p>
      <w:pPr>
        <w:pStyle w:val="Heading3"/>
      </w:pPr>
      <w:r>
        <w:t xml:space="preserve">G5. What are the formal thesis requirements?</w:t>
      </w:r>
    </w:p>
    <w:p>
      <w:pPr>
        <w:pStyle w:val="FirstParagraph"/>
      </w:pPr>
      <w:r>
        <w:t xml:space="preserve">Novelty bar, timeline, credit structure, and whether a publication is expected.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Whether a publication is expected changes how hard to push RQ3 and whether</w:t>
      </w:r>
      <w:r>
        <w:t xml:space="preserve"> </w:t>
      </w:r>
      <w:r>
        <w:t xml:space="preserve">to target a venue. Asking it early is normal and avoids a late surprise.</w:t>
      </w:r>
    </w:p>
    <w:bookmarkEnd w:id="48"/>
    <w:bookmarkStart w:id="49" w:name="X3d24b79609828e7cecf932a8555e7c9efba89c8"/>
    <w:p>
      <w:pPr>
        <w:pStyle w:val="Heading3"/>
      </w:pPr>
      <w:r>
        <w:t xml:space="preserve">G6. What compute is available for training, if any?</w:t>
      </w:r>
    </w:p>
    <w:p>
      <w:pPr>
        <w:pStyle w:val="FirstParagraph"/>
      </w:pPr>
      <w:r>
        <w:t xml:space="preserve">Workstation GPU, cluster access, or none.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Only lightly for this thesis, which is inference-side. It matters a lot for</w:t>
      </w:r>
      <w:r>
        <w:t xml:space="preserve"> </w:t>
      </w:r>
      <w:r>
        <w:t xml:space="preserve">the Option C follow-on, so it is worth knowing now rather than later.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tasks-no-permission-needed-start-now"/>
    <w:p>
      <w:pPr>
        <w:pStyle w:val="Heading2"/>
      </w:pPr>
      <w:r>
        <w:t xml:space="preserve">Tasks — no permission needed, start now</w:t>
      </w:r>
    </w:p>
    <w:bookmarkStart w:id="51" w:name="v1.-verify-the-three-literature-figures"/>
    <w:p>
      <w:pPr>
        <w:pStyle w:val="Heading3"/>
      </w:pPr>
      <w:r>
        <w:t xml:space="preserve">V1. Verify the three literature figures</w:t>
      </w:r>
    </w:p>
    <w:p>
      <w:pPr>
        <w:pStyle w:val="FirstParagraph"/>
      </w:pPr>
      <w:r>
        <w:t xml:space="preserve">The ~50 Hz onboard figure, POT-VLA’s 39/80 → 71/80, and DEED’s 0% → 32% are all recorded as</w:t>
      </w:r>
      <w:r>
        <w:t xml:space="preserve"> </w:t>
      </w:r>
      <w:r>
        <w:rPr>
          <w:b/>
          <w:bCs/>
        </w:rPr>
        <w:t xml:space="preserve">[UNVERIFIED]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00-research-context.md</w:t>
      </w:r>
      <w:r>
        <w:t xml:space="preserve">. Find the papers, confirm or correct the numbers and</w:t>
      </w:r>
      <w:r>
        <w:t xml:space="preserve"> </w:t>
      </w:r>
      <w:r>
        <w:t xml:space="preserve">the exact hardware each used.</w:t>
      </w:r>
    </w:p>
    <w:p>
      <w:pPr>
        <w:pStyle w:val="BodyText"/>
      </w:pPr>
      <w:r>
        <w:rPr>
          <w:b/>
          <w:bCs/>
        </w:rPr>
        <w:t xml:space="preserve">Why now.</w:t>
      </w:r>
      <w:r>
        <w:t xml:space="preserve"> </w:t>
      </w:r>
      <w:r>
        <w:t xml:space="preserve">They shape how the related-work section is argued, and an uncorrected number in a</w:t>
      </w:r>
      <w:r>
        <w:t xml:space="preserve"> </w:t>
      </w:r>
      <w:r>
        <w:t xml:space="preserve">thesis draft is far more expensive to remove later. The proposal is deliberately written not to</w:t>
      </w:r>
      <w:r>
        <w:t xml:space="preserve"> </w:t>
      </w:r>
      <w:r>
        <w:t xml:space="preserve">depend on them, so this is cleanup, not a blocker.</w:t>
      </w:r>
    </w:p>
    <w:bookmarkEnd w:id="51"/>
    <w:bookmarkStart w:id="52" w:name="t1.-build-the-timestamping-harness"/>
    <w:p>
      <w:pPr>
        <w:pStyle w:val="Heading3"/>
      </w:pPr>
      <w:r>
        <w:t xml:space="preserve">T1. Build the timestamping harness</w:t>
      </w:r>
    </w:p>
    <w:p>
      <w:pPr>
        <w:pStyle w:val="FirstParagraph"/>
      </w:pPr>
      <w:r>
        <w:t xml:space="preserve">Stage-tagged logging to a single clock, dry-run against recorded data or a stub policy.</w:t>
      </w:r>
    </w:p>
    <w:p>
      <w:pPr>
        <w:pStyle w:val="BodyText"/>
      </w:pPr>
      <w:r>
        <w:rPr>
          <w:b/>
          <w:bCs/>
        </w:rPr>
        <w:t xml:space="preserve">Why now.</w:t>
      </w:r>
      <w:r>
        <w:t xml:space="preserve"> </w:t>
      </w:r>
      <w:r>
        <w:t xml:space="preserve">It needs no robot, and nothing measured later is trustworthy without it. This is the</w:t>
      </w:r>
      <w:r>
        <w:t xml:space="preserve"> </w:t>
      </w:r>
      <w:r>
        <w:t xml:space="preserve">single highest-value thing available today.</w:t>
      </w:r>
    </w:p>
    <w:bookmarkEnd w:id="52"/>
    <w:bookmarkStart w:id="53" w:name="t2.-write-the-task-suite-specification"/>
    <w:p>
      <w:pPr>
        <w:pStyle w:val="Heading3"/>
      </w:pPr>
      <w:r>
        <w:t xml:space="preserve">T2. Write the task-suite specification</w:t>
      </w:r>
    </w:p>
    <w:p>
      <w:pPr>
        <w:pStyle w:val="FirstParagraph"/>
      </w:pPr>
      <w:r>
        <w:t xml:space="preserve">Tier 1 tasks from proposal §3: initial conditions, success criteria, reset procedure, trial count.</w:t>
      </w:r>
    </w:p>
    <w:p>
      <w:pPr>
        <w:pStyle w:val="BodyText"/>
      </w:pPr>
      <w:r>
        <w:rPr>
          <w:b/>
          <w:bCs/>
        </w:rPr>
        <w:t xml:space="preserve">Why now.</w:t>
      </w:r>
      <w:r>
        <w:t xml:space="preserve"> </w:t>
      </w:r>
      <w:r>
        <w:t xml:space="preserve">Success criteria written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seeing results is what separates an experiment</w:t>
      </w:r>
      <w:r>
        <w:t xml:space="preserve"> </w:t>
      </w:r>
      <w:r>
        <w:t xml:space="preserve">from a demo, and it is the part a supervisor can review without any hardware.</w:t>
      </w:r>
    </w:p>
    <w:bookmarkEnd w:id="53"/>
    <w:bookmarkStart w:id="54" w:name="t3.-draft-the-related-work-section"/>
    <w:p>
      <w:pPr>
        <w:pStyle w:val="Heading3"/>
      </w:pPr>
      <w:r>
        <w:t xml:space="preserve">T3. Draft the related-work section</w:t>
      </w:r>
    </w:p>
    <w:p>
      <w:pPr>
        <w:pStyle w:val="FirstParagraph"/>
      </w:pPr>
      <w:r>
        <w:t xml:space="preserve">Latency and real-time constraints in VLA; action tokenisation versus continuous heads; action</w:t>
      </w:r>
      <w:r>
        <w:t xml:space="preserve"> </w:t>
      </w:r>
      <w:r>
        <w:t xml:space="preserve">chunking; onboard inference on edge accelerators.</w:t>
      </w:r>
    </w:p>
    <w:p>
      <w:pPr>
        <w:pStyle w:val="BodyText"/>
      </w:pPr>
      <w:r>
        <w:rPr>
          <w:b/>
          <w:bCs/>
        </w:rPr>
        <w:t xml:space="preserve">Why now.</w:t>
      </w:r>
      <w:r>
        <w:t xml:space="preserve"> </w:t>
      </w:r>
      <w:r>
        <w:t xml:space="preserve">It is the largest piece of writing that depends on nothing, and it will expose</w:t>
      </w:r>
      <w:r>
        <w:t xml:space="preserve"> </w:t>
      </w:r>
      <w:r>
        <w:t xml:space="preserve">whether RQ2 and RQ3 are genuinely open — which is worth discovering before committing.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commended-order"/>
    <w:p>
      <w:pPr>
        <w:pStyle w:val="Heading2"/>
      </w:pPr>
      <w:r>
        <w:t xml:space="preserve">Recommended order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Send G1–G5 as one short numbered message</w:t>
      </w:r>
      <w:r>
        <w:t xml:space="preserve"> </w:t>
      </w:r>
      <w:r>
        <w:t xml:space="preserve">to the lab. One message, numbered, easy to reply</w:t>
      </w:r>
      <w:r>
        <w:t xml:space="preserve"> </w:t>
      </w:r>
      <w:r>
        <w:t xml:space="preserve">to. Lead with G1: it is the question whose answer changes the most.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Start T1 and T3 the same day</w:t>
      </w:r>
      <w:r>
        <w:t xml:space="preserve">, without waiting for replies.</w:t>
      </w:r>
    </w:p>
    <w:p>
      <w:pPr>
        <w:pStyle w:val="Compact"/>
        <w:numPr>
          <w:ilvl w:val="0"/>
          <w:numId w:val="1013"/>
        </w:numPr>
      </w:pPr>
      <w:r>
        <w:t xml:space="preserve">Fold answers into</w:t>
      </w:r>
      <w:r>
        <w:t xml:space="preserve"> </w:t>
      </w:r>
      <w:r>
        <w:rPr>
          <w:rStyle w:val="VerbatimChar"/>
        </w:rPr>
        <w:t xml:space="preserve">00-research-context.md</w:t>
      </w:r>
      <w:r>
        <w:t xml:space="preserve"> </w:t>
      </w:r>
      <w:r>
        <w:t xml:space="preserve">as they arrive, re-labelling</w:t>
      </w:r>
      <w:r>
        <w:t xml:space="preserve"> </w:t>
      </w:r>
      <w:r>
        <w:rPr>
          <w:b/>
          <w:bCs/>
        </w:rPr>
        <w:t xml:space="preserve">[UNVERIFIED]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[CONFIRMED]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Revisit the proposal only if G1 or G2 comes back in a way that changes the lead result.</w:t>
      </w:r>
    </w:p>
    <w:p>
      <w:pPr>
        <w:pStyle w:val="FirstParagraph"/>
      </w:pPr>
      <w:r>
        <w:t xml:space="preserve">A draft of the message to the lab is kept locally and is not committed to this repository.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00-research-context.md" TargetMode="External" /><Relationship Type="http://schemas.openxmlformats.org/officeDocument/2006/relationships/hyperlink" Id="rId9" Target="01-thesis-proposal.md" TargetMode="External" /><Relationship Type="http://schemas.openxmlformats.org/officeDocument/2006/relationships/hyperlink" Id="rId11" Target="02-open-questions.md" TargetMode="External" /><Relationship Type="http://schemas.openxmlformats.org/officeDocument/2006/relationships/hyperlink" Id="rId16" Target="docs/" TargetMode="External" /><Relationship Type="http://schemas.openxmlformats.org/officeDocument/2006/relationships/hyperlink" Id="rId14" Target="reference/bench-brochure-translation.md" TargetMode="External" /><Relationship Type="http://schemas.openxmlformats.org/officeDocument/2006/relationships/hyperlink" Id="rId15" Target="reference/sport-services-api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0-research-context.md" TargetMode="External" /><Relationship Type="http://schemas.openxmlformats.org/officeDocument/2006/relationships/hyperlink" Id="rId9" Target="01-thesis-proposal.md" TargetMode="External" /><Relationship Type="http://schemas.openxmlformats.org/officeDocument/2006/relationships/hyperlink" Id="rId11" Target="02-open-questions.md" TargetMode="External" /><Relationship Type="http://schemas.openxmlformats.org/officeDocument/2006/relationships/hyperlink" Id="rId16" Target="docs/" TargetMode="External" /><Relationship Type="http://schemas.openxmlformats.org/officeDocument/2006/relationships/hyperlink" Id="rId14" Target="reference/bench-brochure-translation.md" TargetMode="External" /><Relationship Type="http://schemas.openxmlformats.org/officeDocument/2006/relationships/hyperlink" Id="rId15" Target="reference/sport-services-api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Humanoid Robot Research — Thesis Briefing</dc:title>
  <dc:creator/>
  <dc:language>en</dc:language>
  <cp:keywords/>
  <dcterms:created xsi:type="dcterms:W3CDTF">2026-10-30T06:45:03Z</dcterms:created>
  <dcterms:modified xsi:type="dcterms:W3CDTF">2026-10-30T06:45:03Z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October 2026</vt:lpwstr>
  </property>
  <property fmtid="{D5CDD505-2E9C-101B-9397-08002B2CF9AE}" pid="3" name="subtitle">
    <vt:lpwstr>Vision-Language-Action policies on the Unitree G1 EDU: context, proposed thesis, and open questions</vt:lpwstr>
  </property>
  <property fmtid="{D5CDD505-2E9C-101B-9397-08002B2CF9AE}" pid="4" name="toc-title">
    <vt:lpwstr>Contents</vt:lpwstr>
  </property>
</Properties>
</file>