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Calibri" w:cs="Calibri" w:eastAsia="Calibri" w:hAnsi="Calibri"/>
          <w:b/>
          <w:bCs/>
          <w:i w:val="false"/>
          <w:iCs w:val="false"/>
          <w:color w:val="2C3E50"/>
          <w:sz w:val="52"/>
          <w:szCs w:val="52"/>
        </w:rPr>
        <w:t xml:space="preserve">erdealer</w:t>
      </w:r>
    </w:p>
    <w:p>
      <w:pPr>
        <w:spacing w:after="60"/>
      </w:pPr>
      <w:r>
        <w:rPr>
          <w:rFonts w:ascii="Calibri" w:cs="Calibri" w:eastAsia="Calibri" w:hAnsi="Calibri"/>
          <w:b w:val="false"/>
          <w:bCs w:val="false"/>
          <w:i w:val="false"/>
          <w:iCs w:val="false"/>
          <w:color w:val="7F8C8D"/>
          <w:sz w:val="30"/>
          <w:szCs w:val="30"/>
        </w:rPr>
        <w:t xml:space="preserve">Developer Gap Report</w:t>
      </w:r>
    </w:p>
    <w:p>
      <w:pPr>
        <w:spacing w:after="60"/>
      </w:pPr>
      <w:r>
        <w:rPr>
          <w:rFonts w:ascii="Calibri" w:cs="Calibri" w:eastAsia="Calibri" w:hAnsi="Calibri"/>
          <w:b/>
          <w:bCs/>
          <w:i w:val="false"/>
          <w:iCs w:val="false"/>
          <w:color w:val="1C2833"/>
          <w:sz w:val="20"/>
          <w:szCs w:val="20"/>
        </w:rPr>
        <w:t xml:space="preserve">Prepared for: </w:t>
      </w:r>
      <w:r>
        <w:rPr>
          <w:rFonts w:ascii="Calibri" w:cs="Calibri" w:eastAsia="Calibri" w:hAnsi="Calibri"/>
          <w:b w:val="false"/>
          <w:bCs w:val="false"/>
          <w:i w:val="false"/>
          <w:iCs w:val="false"/>
          <w:color w:val="1C2833"/>
          <w:sz w:val="20"/>
          <w:szCs w:val="20"/>
        </w:rPr>
        <w:t xml:space="preserve">Pankaj</w:t>
      </w:r>
      <w:r>
        <w:rPr>
          <w:rFonts w:ascii="Calibri" w:cs="Calibri" w:eastAsia="Calibri" w:hAnsi="Calibri"/>
          <w:b w:val="false"/>
          <w:bCs w:val="false"/>
          <w:i w:val="false"/>
          <w:iCs w:val="false"/>
          <w:color w:val="7F8C8D"/>
          <w:sz w:val="20"/>
          <w:szCs w:val="20"/>
        </w:rPr>
        <w:t xml:space="preserve">     |     </w:t>
      </w:r>
      <w:r>
        <w:rPr>
          <w:rFonts w:ascii="Calibri" w:cs="Calibri" w:eastAsia="Calibri" w:hAnsi="Calibri"/>
          <w:b/>
          <w:bCs/>
          <w:i w:val="false"/>
          <w:iCs w:val="false"/>
          <w:color w:val="1C2833"/>
          <w:sz w:val="20"/>
          <w:szCs w:val="20"/>
        </w:rPr>
        <w:t xml:space="preserve">Date: </w:t>
      </w:r>
      <w:r>
        <w:rPr>
          <w:rFonts w:ascii="Calibri" w:cs="Calibri" w:eastAsia="Calibri" w:hAnsi="Calibri"/>
          <w:b w:val="false"/>
          <w:bCs w:val="false"/>
          <w:i w:val="false"/>
          <w:iCs w:val="false"/>
          <w:color w:val="1C2833"/>
          <w:sz w:val="20"/>
          <w:szCs w:val="20"/>
        </w:rPr>
        <w:t xml:space="preserve">03 August 2026</w:t>
      </w:r>
    </w:p>
    <w:p>
      <w:pPr>
        <w:spacing w:after="280"/>
      </w:pPr>
      <w:r>
        <w:rPr>
          <w:rFonts w:ascii="Calibri" w:cs="Calibri" w:eastAsia="Calibri" w:hAnsi="Calibri"/>
          <w:b w:val="false"/>
          <w:bCs w:val="false"/>
          <w:i/>
          <w:iCs/>
          <w:color w:val="7F8C8D"/>
          <w:sz w:val="18"/>
          <w:szCs w:val="18"/>
        </w:rPr>
        <w:t xml:space="preserve">Project: Vedika Finance — e-Rickshaw Dealer Loan Channel (React SPA)</w:t>
      </w:r>
    </w:p>
    <w:p>
      <w:pPr>
        <w:spacing w:after="100"/>
      </w:pPr>
      <w:r>
        <w:rPr>
          <w:rFonts w:ascii="Calibri" w:cs="Calibri" w:eastAsia="Calibri" w:hAnsi="Calibri"/>
          <w:b/>
          <w:bCs/>
          <w:i w:val="false"/>
          <w:iCs w:val="false"/>
          <w:color w:val="2C3E50"/>
          <w:sz w:val="26"/>
          <w:szCs w:val="26"/>
        </w:rPr>
        <w:t xml:space="preserve">Overview</w:t>
      </w:r>
    </w:p>
    <w:p>
      <w:pPr>
        <w:spacing w:after="280"/>
      </w:pPr>
      <w:r>
        <w:rPr>
          <w:rFonts w:ascii="Calibri" w:cs="Calibri" w:eastAsia="Calibri" w:hAnsi="Calibri"/>
          <w:b w:val="false"/>
          <w:bCs w:val="false"/>
          <w:i w:val="false"/>
          <w:iCs w:val="false"/>
          <w:color w:val="1C2833"/>
          <w:sz w:val="20"/>
          <w:szCs w:val="20"/>
        </w:rPr>
        <w:t xml:space="preserve">This report documents 18 gaps identified through a review of the erdealer project documentation. Issues are grouped by category and ranked by severity. Each entry includes a description of the problem, the recommended fix, and the specific files to change. Address Critical and High items before the next release.</w:t>
      </w:r>
    </w:p>
    <w:p>
      <w:pPr>
        <w:spacing w:after="120"/>
      </w:pPr>
      <w:r>
        <w:rPr>
          <w:rFonts w:ascii="Calibri" w:cs="Calibri" w:eastAsia="Calibri" w:hAnsi="Calibri"/>
          <w:b/>
          <w:bCs/>
          <w:i w:val="false"/>
          <w:iCs w:val="false"/>
          <w:color w:val="2C3E50"/>
          <w:sz w:val="26"/>
          <w:szCs w:val="26"/>
        </w:rPr>
        <w:t xml:space="preserve">Severity Summary</w:t>
      </w: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2500"/>
        <w:gridCol w:w="1500"/>
        <w:gridCol w:w="6000"/>
      </w:tblGrid>
      <w:tr>
        <w:trPr>
          <w:tblHeader/>
        </w:trPr>
        <w:tc>
          <w:tcPr>
            <w:tcW w:type="dxa" w:w="2500"/>
            <w:tcBorders>
              <w:top w:val="none" w:sz="0"/>
              <w:left w:val="none" w:sz="0"/>
              <w:bottom w:val="none" w:sz="0"/>
              <w:right w:val="none" w:sz="0"/>
            </w:tcBorders>
            <w:shd w:fill="2C3E50" w:val="clear"/>
            <w:tcMar>
              <w:top w:type="dxa" w:w="80"/>
              <w:left w:type="dxa" w:w="120"/>
              <w:bottom w:type="dxa" w:w="80"/>
              <w:right w:type="dxa" w:w="120"/>
            </w:tcMar>
            <w:vAlign w:val="top"/>
          </w:tcPr>
          <w:p>
            <w:pPr>
              <w:spacing w:after="80"/>
              <w:jc w:val="left"/>
            </w:pPr>
            <w:r>
              <w:rPr>
                <w:rFonts w:ascii="Calibri" w:cs="Calibri" w:eastAsia="Calibri" w:hAnsi="Calibri"/>
                <w:b/>
                <w:bCs/>
                <w:i w:val="false"/>
                <w:iCs w:val="false"/>
                <w:color w:val="FFFFFF"/>
                <w:sz w:val="18"/>
                <w:szCs w:val="18"/>
              </w:rPr>
              <w:t xml:space="preserve">Severity</w:t>
            </w:r>
          </w:p>
        </w:tc>
        <w:tc>
          <w:tcPr>
            <w:tcW w:type="dxa" w:w="1500"/>
            <w:tcBorders>
              <w:top w:val="none" w:sz="0"/>
              <w:left w:val="none" w:sz="0"/>
              <w:bottom w:val="none" w:sz="0"/>
              <w:right w:val="none" w:sz="0"/>
            </w:tcBorders>
            <w:shd w:fill="2C3E50" w:val="clear"/>
            <w:tcMar>
              <w:top w:type="dxa" w:w="80"/>
              <w:left w:type="dxa" w:w="120"/>
              <w:bottom w:type="dxa" w:w="80"/>
              <w:right w:type="dxa" w:w="120"/>
            </w:tcMar>
            <w:vAlign w:val="top"/>
          </w:tcPr>
          <w:p>
            <w:pPr>
              <w:spacing w:after="80"/>
              <w:jc w:val="left"/>
            </w:pPr>
            <w:r>
              <w:rPr>
                <w:rFonts w:ascii="Calibri" w:cs="Calibri" w:eastAsia="Calibri" w:hAnsi="Calibri"/>
                <w:b/>
                <w:bCs/>
                <w:i w:val="false"/>
                <w:iCs w:val="false"/>
                <w:color w:val="FFFFFF"/>
                <w:sz w:val="18"/>
                <w:szCs w:val="18"/>
              </w:rPr>
              <w:t xml:space="preserve">Count</w:t>
            </w:r>
          </w:p>
        </w:tc>
        <w:tc>
          <w:tcPr>
            <w:tcW w:type="dxa" w:w="6000"/>
            <w:tcBorders>
              <w:top w:val="none" w:sz="0"/>
              <w:left w:val="none" w:sz="0"/>
              <w:bottom w:val="none" w:sz="0"/>
              <w:right w:val="none" w:sz="0"/>
            </w:tcBorders>
            <w:shd w:fill="2C3E50" w:val="clear"/>
            <w:tcMar>
              <w:top w:type="dxa" w:w="80"/>
              <w:left w:type="dxa" w:w="120"/>
              <w:bottom w:type="dxa" w:w="80"/>
              <w:right w:type="dxa" w:w="120"/>
            </w:tcMar>
            <w:vAlign w:val="top"/>
          </w:tcPr>
          <w:p>
            <w:pPr>
              <w:spacing w:after="80"/>
              <w:jc w:val="left"/>
            </w:pPr>
            <w:r>
              <w:rPr>
                <w:rFonts w:ascii="Calibri" w:cs="Calibri" w:eastAsia="Calibri" w:hAnsi="Calibri"/>
                <w:b/>
                <w:bCs/>
                <w:i w:val="false"/>
                <w:iCs w:val="false"/>
                <w:color w:val="FFFFFF"/>
                <w:sz w:val="18"/>
                <w:szCs w:val="18"/>
              </w:rPr>
              <w:t xml:space="preserve">Description</w:t>
            </w:r>
          </w:p>
        </w:tc>
      </w:tr>
      <w:tr>
        <w:tc>
          <w:tcPr>
            <w:tcW w:type="dxa" w:w="2500"/>
            <w:tcBorders>
              <w:top w:val="none" w:sz="0"/>
              <w:left w:val="none" w:sz="0"/>
              <w:bottom w:val="none" w:sz="0"/>
              <w:right w:val="none" w:sz="0"/>
            </w:tcBorders>
            <w:shd w:fill="FDEDEC" w:val="clear"/>
            <w:tcMar>
              <w:top w:type="dxa" w:w="80"/>
              <w:left w:type="dxa" w:w="120"/>
              <w:bottom w:type="dxa" w:w="80"/>
              <w:right w:type="dxa" w:w="120"/>
            </w:tcMar>
            <w:vAlign w:val="top"/>
          </w:tcPr>
          <w:p>
            <w:pPr>
              <w:spacing w:after="80"/>
              <w:jc w:val="left"/>
            </w:pPr>
            <w:r>
              <w:rPr>
                <w:rFonts w:ascii="Calibri" w:cs="Calibri" w:eastAsia="Calibri" w:hAnsi="Calibri"/>
                <w:b/>
                <w:bCs/>
                <w:i w:val="false"/>
                <w:iCs w:val="false"/>
                <w:color w:val="C0392B"/>
                <w:sz w:val="18"/>
                <w:szCs w:val="18"/>
              </w:rPr>
              <w:t xml:space="preserve">Critical</w:t>
            </w:r>
          </w:p>
        </w:tc>
        <w:tc>
          <w:tcPr>
            <w:tcW w:type="dxa" w:w="1500"/>
            <w:tcBorders>
              <w:top w:val="none" w:sz="0"/>
              <w:left w:val="none" w:sz="0"/>
              <w:bottom w:val="none" w:sz="0"/>
              <w:right w:val="none" w:sz="0"/>
            </w:tcBorders>
            <w:shd w:fill="FDEDEC" w:val="clear"/>
            <w:tcMar>
              <w:top w:type="dxa" w:w="80"/>
              <w:left w:type="dxa" w:w="120"/>
              <w:bottom w:type="dxa" w:w="80"/>
              <w:right w:type="dxa" w:w="120"/>
            </w:tcMar>
            <w:vAlign w:val="top"/>
          </w:tcPr>
          <w:p>
            <w:pPr>
              <w:spacing w:after="80"/>
              <w:jc w:val="center"/>
            </w:pPr>
            <w:r>
              <w:rPr>
                <w:rFonts w:ascii="Calibri" w:cs="Calibri" w:eastAsia="Calibri" w:hAnsi="Calibri"/>
                <w:b/>
                <w:bCs/>
                <w:i w:val="false"/>
                <w:iCs w:val="false"/>
                <w:color w:val="C0392B"/>
                <w:sz w:val="22"/>
                <w:szCs w:val="22"/>
              </w:rPr>
              <w:t xml:space="preserve">3</w:t>
            </w:r>
          </w:p>
        </w:tc>
        <w:tc>
          <w:tcPr>
            <w:tcW w:type="dxa" w:w="6000"/>
            <w:tcBorders>
              <w:top w:val="none" w:sz="0"/>
              <w:left w:val="none" w:sz="0"/>
              <w:bottom w:val="none" w:sz="0"/>
              <w:right w:val="none" w:sz="0"/>
            </w:tcBorders>
            <w:shd w:fill="FFFFFF" w:val="clear"/>
            <w:tcMar>
              <w:top w:type="dxa" w:w="80"/>
              <w:left w:type="dxa" w:w="120"/>
              <w:bottom w:type="dxa" w:w="80"/>
              <w:right w:type="dxa" w:w="120"/>
            </w:tcMar>
            <w:vAlign w:val="top"/>
          </w:tcPr>
          <w:p>
            <w:pPr>
              <w:spacing w:after="80"/>
              <w:jc w:val="left"/>
            </w:pPr>
            <w:r>
              <w:rPr>
                <w:rFonts w:ascii="Calibri" w:cs="Calibri" w:eastAsia="Calibri" w:hAnsi="Calibri"/>
                <w:b w:val="false"/>
                <w:bCs w:val="false"/>
                <w:i w:val="false"/>
                <w:iCs w:val="false"/>
                <w:color w:val="1C2833"/>
                <w:sz w:val="18"/>
                <w:szCs w:val="18"/>
              </w:rPr>
              <w:t xml:space="preserve">Security exposure, silent data loss, non-functional disbursement</w:t>
            </w:r>
          </w:p>
        </w:tc>
      </w:tr>
      <w:tr>
        <w:tc>
          <w:tcPr>
            <w:tcW w:type="dxa" w:w="2500"/>
            <w:tcBorders>
              <w:top w:val="none" w:sz="0"/>
              <w:left w:val="none" w:sz="0"/>
              <w:bottom w:val="none" w:sz="0"/>
              <w:right w:val="none" w:sz="0"/>
            </w:tcBorders>
            <w:shd w:fill="FEF9E7" w:val="clear"/>
            <w:tcMar>
              <w:top w:type="dxa" w:w="80"/>
              <w:left w:type="dxa" w:w="120"/>
              <w:bottom w:type="dxa" w:w="80"/>
              <w:right w:type="dxa" w:w="120"/>
            </w:tcMar>
            <w:vAlign w:val="top"/>
          </w:tcPr>
          <w:p>
            <w:pPr>
              <w:spacing w:after="80"/>
              <w:jc w:val="left"/>
            </w:pPr>
            <w:r>
              <w:rPr>
                <w:rFonts w:ascii="Calibri" w:cs="Calibri" w:eastAsia="Calibri" w:hAnsi="Calibri"/>
                <w:b/>
                <w:bCs/>
                <w:i w:val="false"/>
                <w:iCs w:val="false"/>
                <w:color w:val="D68910"/>
                <w:sz w:val="18"/>
                <w:szCs w:val="18"/>
              </w:rPr>
              <w:t xml:space="preserve">High</w:t>
            </w:r>
          </w:p>
        </w:tc>
        <w:tc>
          <w:tcPr>
            <w:tcW w:type="dxa" w:w="1500"/>
            <w:tcBorders>
              <w:top w:val="none" w:sz="0"/>
              <w:left w:val="none" w:sz="0"/>
              <w:bottom w:val="none" w:sz="0"/>
              <w:right w:val="none" w:sz="0"/>
            </w:tcBorders>
            <w:shd w:fill="FEF9E7" w:val="clear"/>
            <w:tcMar>
              <w:top w:type="dxa" w:w="80"/>
              <w:left w:type="dxa" w:w="120"/>
              <w:bottom w:type="dxa" w:w="80"/>
              <w:right w:type="dxa" w:w="120"/>
            </w:tcMar>
            <w:vAlign w:val="top"/>
          </w:tcPr>
          <w:p>
            <w:pPr>
              <w:spacing w:after="80"/>
              <w:jc w:val="center"/>
            </w:pPr>
            <w:r>
              <w:rPr>
                <w:rFonts w:ascii="Calibri" w:cs="Calibri" w:eastAsia="Calibri" w:hAnsi="Calibri"/>
                <w:b/>
                <w:bCs/>
                <w:i w:val="false"/>
                <w:iCs w:val="false"/>
                <w:color w:val="D68910"/>
                <w:sz w:val="22"/>
                <w:szCs w:val="22"/>
              </w:rPr>
              <w:t xml:space="preserve">4</w:t>
            </w:r>
          </w:p>
        </w:tc>
        <w:tc>
          <w:tcPr>
            <w:tcW w:type="dxa" w:w="6000"/>
            <w:tcBorders>
              <w:top w:val="none" w:sz="0"/>
              <w:left w:val="none" w:sz="0"/>
              <w:bottom w:val="none" w:sz="0"/>
              <w:right w:val="none" w:sz="0"/>
            </w:tcBorders>
            <w:shd w:fill="FFFFFF" w:val="clear"/>
            <w:tcMar>
              <w:top w:type="dxa" w:w="80"/>
              <w:left w:type="dxa" w:w="120"/>
              <w:bottom w:type="dxa" w:w="80"/>
              <w:right w:type="dxa" w:w="120"/>
            </w:tcMar>
            <w:vAlign w:val="top"/>
          </w:tcPr>
          <w:p>
            <w:pPr>
              <w:spacing w:after="80"/>
              <w:jc w:val="left"/>
            </w:pPr>
            <w:r>
              <w:rPr>
                <w:rFonts w:ascii="Calibri" w:cs="Calibri" w:eastAsia="Calibri" w:hAnsi="Calibri"/>
                <w:b w:val="false"/>
                <w:bCs w:val="false"/>
                <w:i w:val="false"/>
                <w:iCs w:val="false"/>
                <w:color w:val="1C2833"/>
                <w:sz w:val="18"/>
                <w:szCs w:val="18"/>
              </w:rPr>
              <w:t xml:space="preserve">Likely silent failures in data persistence and session handling</w:t>
            </w:r>
          </w:p>
        </w:tc>
      </w:tr>
      <w:tr>
        <w:tc>
          <w:tcPr>
            <w:tcW w:type="dxa" w:w="2500"/>
            <w:tcBorders>
              <w:top w:val="none" w:sz="0"/>
              <w:left w:val="none" w:sz="0"/>
              <w:bottom w:val="none" w:sz="0"/>
              <w:right w:val="none" w:sz="0"/>
            </w:tcBorders>
            <w:shd w:fill="EBF5FB" w:val="clear"/>
            <w:tcMar>
              <w:top w:type="dxa" w:w="80"/>
              <w:left w:type="dxa" w:w="120"/>
              <w:bottom w:type="dxa" w:w="80"/>
              <w:right w:type="dxa" w:w="120"/>
            </w:tcMar>
            <w:vAlign w:val="top"/>
          </w:tcPr>
          <w:p>
            <w:pPr>
              <w:spacing w:after="80"/>
              <w:jc w:val="left"/>
            </w:pPr>
            <w:r>
              <w:rPr>
                <w:rFonts w:ascii="Calibri" w:cs="Calibri" w:eastAsia="Calibri" w:hAnsi="Calibri"/>
                <w:b/>
                <w:bCs/>
                <w:i w:val="false"/>
                <w:iCs w:val="false"/>
                <w:color w:val="2471A3"/>
                <w:sz w:val="18"/>
                <w:szCs w:val="18"/>
              </w:rPr>
              <w:t xml:space="preserve">Medium</w:t>
            </w:r>
          </w:p>
        </w:tc>
        <w:tc>
          <w:tcPr>
            <w:tcW w:type="dxa" w:w="1500"/>
            <w:tcBorders>
              <w:top w:val="none" w:sz="0"/>
              <w:left w:val="none" w:sz="0"/>
              <w:bottom w:val="none" w:sz="0"/>
              <w:right w:val="none" w:sz="0"/>
            </w:tcBorders>
            <w:shd w:fill="EBF5FB" w:val="clear"/>
            <w:tcMar>
              <w:top w:type="dxa" w:w="80"/>
              <w:left w:type="dxa" w:w="120"/>
              <w:bottom w:type="dxa" w:w="80"/>
              <w:right w:type="dxa" w:w="120"/>
            </w:tcMar>
            <w:vAlign w:val="top"/>
          </w:tcPr>
          <w:p>
            <w:pPr>
              <w:spacing w:after="80"/>
              <w:jc w:val="center"/>
            </w:pPr>
            <w:r>
              <w:rPr>
                <w:rFonts w:ascii="Calibri" w:cs="Calibri" w:eastAsia="Calibri" w:hAnsi="Calibri"/>
                <w:b/>
                <w:bCs/>
                <w:i w:val="false"/>
                <w:iCs w:val="false"/>
                <w:color w:val="2471A3"/>
                <w:sz w:val="22"/>
                <w:szCs w:val="22"/>
              </w:rPr>
              <w:t xml:space="preserve">9</w:t>
            </w:r>
          </w:p>
        </w:tc>
        <w:tc>
          <w:tcPr>
            <w:tcW w:type="dxa" w:w="6000"/>
            <w:tcBorders>
              <w:top w:val="none" w:sz="0"/>
              <w:left w:val="none" w:sz="0"/>
              <w:bottom w:val="none" w:sz="0"/>
              <w:right w:val="none" w:sz="0"/>
            </w:tcBorders>
            <w:shd w:fill="FFFFFF" w:val="clear"/>
            <w:tcMar>
              <w:top w:type="dxa" w:w="80"/>
              <w:left w:type="dxa" w:w="120"/>
              <w:bottom w:type="dxa" w:w="80"/>
              <w:right w:type="dxa" w:w="120"/>
            </w:tcMar>
            <w:vAlign w:val="top"/>
          </w:tcPr>
          <w:p>
            <w:pPr>
              <w:spacing w:after="80"/>
              <w:jc w:val="left"/>
            </w:pPr>
            <w:r>
              <w:rPr>
                <w:rFonts w:ascii="Calibri" w:cs="Calibri" w:eastAsia="Calibri" w:hAnsi="Calibri"/>
                <w:b w:val="false"/>
                <w:bCs w:val="false"/>
                <w:i w:val="false"/>
                <w:iCs w:val="false"/>
                <w:color w:val="1C2833"/>
                <w:sz w:val="18"/>
                <w:szCs w:val="18"/>
              </w:rPr>
              <w:t xml:space="preserve">Code duplication, missing validation, unconfirmed API fields</w:t>
            </w:r>
          </w:p>
        </w:tc>
      </w:tr>
      <w:tr>
        <w:tc>
          <w:tcPr>
            <w:tcW w:type="dxa" w:w="2500"/>
            <w:tcBorders>
              <w:top w:val="none" w:sz="0"/>
              <w:left w:val="none" w:sz="0"/>
              <w:bottom w:val="none" w:sz="0"/>
              <w:right w:val="none" w:sz="0"/>
            </w:tcBorders>
            <w:shd w:fill="EAFAF1" w:val="clear"/>
            <w:tcMar>
              <w:top w:type="dxa" w:w="80"/>
              <w:left w:type="dxa" w:w="120"/>
              <w:bottom w:type="dxa" w:w="80"/>
              <w:right w:type="dxa" w:w="120"/>
            </w:tcMar>
            <w:vAlign w:val="top"/>
          </w:tcPr>
          <w:p>
            <w:pPr>
              <w:spacing w:after="80"/>
              <w:jc w:val="left"/>
            </w:pPr>
            <w:r>
              <w:rPr>
                <w:rFonts w:ascii="Calibri" w:cs="Calibri" w:eastAsia="Calibri" w:hAnsi="Calibri"/>
                <w:b/>
                <w:bCs/>
                <w:i w:val="false"/>
                <w:iCs w:val="false"/>
                <w:color w:val="1E8449"/>
                <w:sz w:val="18"/>
                <w:szCs w:val="18"/>
              </w:rPr>
              <w:t xml:space="preserve">Low</w:t>
            </w:r>
          </w:p>
        </w:tc>
        <w:tc>
          <w:tcPr>
            <w:tcW w:type="dxa" w:w="1500"/>
            <w:tcBorders>
              <w:top w:val="none" w:sz="0"/>
              <w:left w:val="none" w:sz="0"/>
              <w:bottom w:val="none" w:sz="0"/>
              <w:right w:val="none" w:sz="0"/>
            </w:tcBorders>
            <w:shd w:fill="EAFAF1" w:val="clear"/>
            <w:tcMar>
              <w:top w:type="dxa" w:w="80"/>
              <w:left w:type="dxa" w:w="120"/>
              <w:bottom w:type="dxa" w:w="80"/>
              <w:right w:type="dxa" w:w="120"/>
            </w:tcMar>
            <w:vAlign w:val="top"/>
          </w:tcPr>
          <w:p>
            <w:pPr>
              <w:spacing w:after="80"/>
              <w:jc w:val="center"/>
            </w:pPr>
            <w:r>
              <w:rPr>
                <w:rFonts w:ascii="Calibri" w:cs="Calibri" w:eastAsia="Calibri" w:hAnsi="Calibri"/>
                <w:b/>
                <w:bCs/>
                <w:i w:val="false"/>
                <w:iCs w:val="false"/>
                <w:color w:val="1E8449"/>
                <w:sz w:val="22"/>
                <w:szCs w:val="22"/>
              </w:rPr>
              <w:t xml:space="preserve">2</w:t>
            </w:r>
          </w:p>
        </w:tc>
        <w:tc>
          <w:tcPr>
            <w:tcW w:type="dxa" w:w="6000"/>
            <w:tcBorders>
              <w:top w:val="none" w:sz="0"/>
              <w:left w:val="none" w:sz="0"/>
              <w:bottom w:val="none" w:sz="0"/>
              <w:right w:val="none" w:sz="0"/>
            </w:tcBorders>
            <w:shd w:fill="FFFFFF" w:val="clear"/>
            <w:tcMar>
              <w:top w:type="dxa" w:w="80"/>
              <w:left w:type="dxa" w:w="120"/>
              <w:bottom w:type="dxa" w:w="80"/>
              <w:right w:type="dxa" w:w="120"/>
            </w:tcMar>
            <w:vAlign w:val="top"/>
          </w:tcPr>
          <w:p>
            <w:pPr>
              <w:spacing w:after="80"/>
              <w:jc w:val="left"/>
            </w:pPr>
            <w:r>
              <w:rPr>
                <w:rFonts w:ascii="Calibri" w:cs="Calibri" w:eastAsia="Calibri" w:hAnsi="Calibri"/>
                <w:b w:val="false"/>
                <w:bCs w:val="false"/>
                <w:i w:val="false"/>
                <w:iCs w:val="false"/>
                <w:color w:val="1C2833"/>
                <w:sz w:val="18"/>
                <w:szCs w:val="18"/>
              </w:rPr>
              <w:t xml:space="preserve">Folder structure, removed feature with no replacement</w:t>
            </w:r>
          </w:p>
        </w:tc>
      </w:tr>
    </w:tbl>
    <w:p>
      <w:pPr>
        <w:spacing w:after="320"/>
      </w:pPr>
    </w:p>
    <w:p>
      <w:pPr>
        <w:shd w:fill="2C3E50" w:val="clear"/>
        <w:spacing w:after="0" w:before="200"/>
        <w:ind w:left="160" w:right="160"/>
      </w:pPr>
      <w:r>
        <w:rPr>
          <w:rFonts w:ascii="Calibri" w:cs="Calibri" w:eastAsia="Calibri" w:hAnsi="Calibri"/>
          <w:b/>
          <w:bCs/>
          <w:i w:val="false"/>
          <w:iCs w:val="false"/>
          <w:color w:val="FFFFFF"/>
          <w:sz w:val="22"/>
          <w:szCs w:val="22"/>
        </w:rPr>
        <w:t xml:space="preserve">Security</w:t>
      </w:r>
    </w:p>
    <w:p>
      <w:pPr>
        <w:spacing w:after="12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C0392B"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#1</w:t>
            </w:r>
          </w:p>
        </w:tc>
        <w:tc>
          <w:tcPr>
            <w:tcW w:type="dxa" w:w="7500"/>
            <w:tcBorders>
              <w:top w:val="none" w:sz="0"/>
              <w:left w:val="none" w:sz="0"/>
              <w:bottom w:val="none" w:sz="0"/>
              <w:right w:val="none" w:sz="0"/>
            </w:tcBorders>
            <w:shd w:fill="FDEDEC"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No route guard on FI / HO pages</w:t>
            </w:r>
          </w:p>
        </w:tc>
        <w:tc>
          <w:tcPr>
            <w:tcW w:type="dxa" w:w="1400"/>
            <w:tcBorders>
              <w:top w:val="none" w:sz="0"/>
              <w:left w:val="none" w:sz="0"/>
              <w:bottom w:val="none" w:sz="0"/>
              <w:right w:val="none" w:sz="0"/>
            </w:tcBorders>
            <w:shd w:fill="FDEDEC"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C0392B"/>
                <w:sz w:val="18"/>
                <w:szCs w:val="18"/>
              </w:rPr>
              <w:t xml:space="preserve">Critical</w:t>
            </w:r>
          </w:p>
        </w:tc>
      </w:tr>
      <w:tr>
        <w:tc>
          <w:tcPr>
            <w:tcW w:type="dxa" w:w="600"/>
            <w:tcBorders>
              <w:top w:val="none" w:sz="0"/>
              <w:left w:val="none" w:sz="0"/>
              <w:bottom w:val="none" w:sz="0"/>
              <w:right w:val="none" w:sz="0"/>
            </w:tcBorders>
            <w:shd w:fill="C0392B"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Security</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C0392B"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Anyone who knows a customerId can directly open /sanction-review/:id, /final-review/:id, /ho-delivery-verification/:id, and other sensitive pages. Only the 3 Customer Onboarding pages are protected by DealerRoute.jsx. All FI and HO loan data is exposed by URL alone.</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C0392B"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Add role-based route guards mirroring DealerRoute.jsx for every FI/* and HO page. Read the role field from localStorage and redirect to "/" if the role does not match before rendering the component.</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DealerRoute.jsx, App.js, all FI/*.jsx</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C0392B"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#2</w:t>
            </w:r>
          </w:p>
        </w:tc>
        <w:tc>
          <w:tcPr>
            <w:tcW w:type="dxa" w:w="7500"/>
            <w:tcBorders>
              <w:top w:val="none" w:sz="0"/>
              <w:left w:val="none" w:sz="0"/>
              <w:bottom w:val="none" w:sz="0"/>
              <w:right w:val="none" w:sz="0"/>
            </w:tcBorders>
            <w:shd w:fill="FDEDEC"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Auth session stored in localStorage — XSS risk</w:t>
            </w:r>
          </w:p>
        </w:tc>
        <w:tc>
          <w:tcPr>
            <w:tcW w:type="dxa" w:w="1400"/>
            <w:tcBorders>
              <w:top w:val="none" w:sz="0"/>
              <w:left w:val="none" w:sz="0"/>
              <w:bottom w:val="none" w:sz="0"/>
              <w:right w:val="none" w:sz="0"/>
            </w:tcBorders>
            <w:shd w:fill="FDEDEC"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C0392B"/>
                <w:sz w:val="18"/>
                <w:szCs w:val="18"/>
              </w:rPr>
              <w:t xml:space="preserve">Critical</w:t>
            </w:r>
          </w:p>
        </w:tc>
      </w:tr>
      <w:tr>
        <w:tc>
          <w:tcPr>
            <w:tcW w:type="dxa" w:w="600"/>
            <w:tcBorders>
              <w:top w:val="none" w:sz="0"/>
              <w:left w:val="none" w:sz="0"/>
              <w:bottom w:val="none" w:sz="0"/>
              <w:right w:val="none" w:sz="0"/>
            </w:tcBorders>
            <w:shd w:fill="C0392B"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Security</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C0392B"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The entire session (Bearer token, dealer_id, role, OTP data) is stored in localStorage. Any injected script on the same origin can exfiltrate the token and impersonate any user, including HO with disbursement authority.</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C0392B"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Move the Bearer token to an HttpOnly cookie or at minimum an in-memory variable. Keep only non-sensitive UI preferences in localStorage.</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Login.jsx, OtpVerify.jsx, all pages reading localStorage.token</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D68910"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#7</w:t>
            </w:r>
          </w:p>
        </w:tc>
        <w:tc>
          <w:tcPr>
            <w:tcW w:type="dxa" w:w="7500"/>
            <w:tcBorders>
              <w:top w:val="none" w:sz="0"/>
              <w:left w:val="none" w:sz="0"/>
              <w:bottom w:val="none" w:sz="0"/>
              <w:right w:val="none" w:sz="0"/>
            </w:tcBorders>
            <w:shd w:fill="FEF9E7"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No token refresh / re-auth flow</w:t>
            </w:r>
          </w:p>
        </w:tc>
        <w:tc>
          <w:tcPr>
            <w:tcW w:type="dxa" w:w="1400"/>
            <w:tcBorders>
              <w:top w:val="none" w:sz="0"/>
              <w:left w:val="none" w:sz="0"/>
              <w:bottom w:val="none" w:sz="0"/>
              <w:right w:val="none" w:sz="0"/>
            </w:tcBorders>
            <w:shd w:fill="FEF9E7"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D68910"/>
                <w:sz w:val="18"/>
                <w:szCs w:val="18"/>
              </w:rPr>
              <w:t xml:space="preserve">High</w:t>
            </w:r>
          </w:p>
        </w:tc>
      </w:tr>
      <w:tr>
        <w:tc>
          <w:tcPr>
            <w:tcW w:type="dxa" w:w="600"/>
            <w:tcBorders>
              <w:top w:val="none" w:sz="0"/>
              <w:left w:val="none" w:sz="0"/>
              <w:bottom w:val="none" w:sz="0"/>
              <w:right w:val="none" w:sz="0"/>
            </w:tcBorders>
            <w:shd w:fill="D68910"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Security</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D68910"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When localStorage.token expires, the app silently sends 401s on Bearer-authenticated endpoints (sanction save, vehicle delivery, FI details). There is no re-auth prompt — the user's actions fail silently with no indication of what went wrong.</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D68910"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Add a global 401 interceptor (fetch wrapper or axios interceptor). On 401, clear the session and redirect to /login with a "session expired" message.</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Login.jsx, OtpVerify.jsx, all pages making authenticated API calls</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2471A3"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#15</w:t>
            </w:r>
          </w:p>
        </w:tc>
        <w:tc>
          <w:tcPr>
            <w:tcW w:type="dxa" w:w="7500"/>
            <w:tcBorders>
              <w:top w:val="none" w:sz="0"/>
              <w:left w:val="none" w:sz="0"/>
              <w:bottom w:val="none" w:sz="0"/>
              <w:right w:val="none" w:sz="0"/>
            </w:tcBorders>
            <w:shd w:fill="EBF5FB"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API base URLs hardcoded — no .env</w:t>
            </w:r>
          </w:p>
        </w:tc>
        <w:tc>
          <w:tcPr>
            <w:tcW w:type="dxa" w:w="1400"/>
            <w:tcBorders>
              <w:top w:val="none" w:sz="0"/>
              <w:left w:val="none" w:sz="0"/>
              <w:bottom w:val="none" w:sz="0"/>
              <w:right w:val="none" w:sz="0"/>
            </w:tcBorders>
            <w:shd w:fill="EBF5FB"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2471A3"/>
                <w:sz w:val="18"/>
                <w:szCs w:val="18"/>
              </w:rPr>
              <w:t xml:space="preserve">Medium</w:t>
            </w: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Security</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apiRoutes.js has BASE_URL and BASE_URL_CUSTOMER hardcoded with commented swap lines for local/UAT/prod. An accidental production deploy or mis-merged branch will silently hit the wrong environment.</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Move all base URLs to .env.local / .env.production using the REACT_APP_ prefix. Switching environments becomes a one-line change with no risk of committing the wrong URL.</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src/component/api/apiRoutes.js</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p>
      <w:pPr>
        <w:spacing w:after="160"/>
      </w:pPr>
    </w:p>
    <w:p>
      <w:pPr>
        <w:shd w:fill="2C3E50" w:val="clear"/>
        <w:spacing w:after="0" w:before="200"/>
        <w:ind w:left="160" w:right="160"/>
      </w:pPr>
      <w:r>
        <w:rPr>
          <w:rFonts w:ascii="Calibri" w:cs="Calibri" w:eastAsia="Calibri" w:hAnsi="Calibri"/>
          <w:b/>
          <w:bCs/>
          <w:i w:val="false"/>
          <w:iCs w:val="false"/>
          <w:color w:val="FFFFFF"/>
          <w:sz w:val="22"/>
          <w:szCs w:val="22"/>
        </w:rPr>
        <w:t xml:space="preserve">Missing Backend</w:t>
      </w:r>
    </w:p>
    <w:p>
      <w:pPr>
        <w:spacing w:after="12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C0392B"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#3</w:t>
            </w:r>
          </w:p>
        </w:tc>
        <w:tc>
          <w:tcPr>
            <w:tcW w:type="dxa" w:w="7500"/>
            <w:tcBorders>
              <w:top w:val="none" w:sz="0"/>
              <w:left w:val="none" w:sz="0"/>
              <w:bottom w:val="none" w:sz="0"/>
              <w:right w:val="none" w:sz="0"/>
            </w:tcBorders>
            <w:shd w:fill="FDEDEC"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AUTO_DISBURSEMENT_API is a placeholder — no actual disbursement happens</w:t>
            </w:r>
          </w:p>
        </w:tc>
        <w:tc>
          <w:tcPr>
            <w:tcW w:type="dxa" w:w="1400"/>
            <w:tcBorders>
              <w:top w:val="none" w:sz="0"/>
              <w:left w:val="none" w:sz="0"/>
              <w:bottom w:val="none" w:sz="0"/>
              <w:right w:val="none" w:sz="0"/>
            </w:tcBorders>
            <w:shd w:fill="FDEDEC"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C0392B"/>
                <w:sz w:val="18"/>
                <w:szCs w:val="18"/>
              </w:rPr>
              <w:t xml:space="preserve">Critical</w:t>
            </w:r>
          </w:p>
        </w:tc>
      </w:tr>
      <w:tr>
        <w:tc>
          <w:tcPr>
            <w:tcW w:type="dxa" w:w="600"/>
            <w:tcBorders>
              <w:top w:val="none" w:sz="0"/>
              <w:left w:val="none" w:sz="0"/>
              <w:bottom w:val="none" w:sz="0"/>
              <w:right w:val="none" w:sz="0"/>
            </w:tcBorders>
            <w:shd w:fill="C0392B"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Missing Backend</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C0392B"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The 'Ready To Disbursement' button in FinalReview.jsx only opens the browser's print dialog and marks the lead Disbursed in local UI state. No API call is made. The endpoint /er-loan/auto-disbursement in apiRoutes.js is an invented URL — never confirmed with the backend team.</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C0392B"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Confirm the real endpoint URL, HTTP method, request body (cust_id, kyc_id, emp_id assumed), and response shape (UTR / disbursement reference) with the backend team. Then wire it up and remove the print-only fallback.</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FI/FinalReview.jsx, src/component/api/apiRoutes.js</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D68910"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#6</w:t>
            </w:r>
          </w:p>
        </w:tc>
        <w:tc>
          <w:tcPr>
            <w:tcW w:type="dxa" w:w="7500"/>
            <w:tcBorders>
              <w:top w:val="none" w:sz="0"/>
              <w:left w:val="none" w:sz="0"/>
              <w:bottom w:val="none" w:sz="0"/>
              <w:right w:val="none" w:sz="0"/>
            </w:tcBorders>
            <w:shd w:fill="FEF9E7"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6 of 10 vehicle delivery document field names are unconfirmed</w:t>
            </w:r>
          </w:p>
        </w:tc>
        <w:tc>
          <w:tcPr>
            <w:tcW w:type="dxa" w:w="1400"/>
            <w:tcBorders>
              <w:top w:val="none" w:sz="0"/>
              <w:left w:val="none" w:sz="0"/>
              <w:bottom w:val="none" w:sz="0"/>
              <w:right w:val="none" w:sz="0"/>
            </w:tcBorders>
            <w:shd w:fill="FEF9E7"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D68910"/>
                <w:sz w:val="18"/>
                <w:szCs w:val="18"/>
              </w:rPr>
              <w:t xml:space="preserve">High</w:t>
            </w:r>
          </w:p>
        </w:tc>
      </w:tr>
      <w:tr>
        <w:tc>
          <w:tcPr>
            <w:tcW w:type="dxa" w:w="600"/>
            <w:tcBorders>
              <w:top w:val="none" w:sz="0"/>
              <w:left w:val="none" w:sz="0"/>
              <w:bottom w:val="none" w:sz="0"/>
              <w:right w:val="none" w:sz="0"/>
            </w:tcBorders>
            <w:shd w:fill="D68910"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Missing Backend</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D68910"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Only delivery_photo, invoice, insurance, and rc_application were curl-confirmed. The other 6 field names (quotation, disclaimer, rc_challan, battery_photo, no_hpa_letter, form_22) are guessed snake_case names. Uploads for these documents may already be silently failing.</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D68910"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Do a curl POST with each of the 6 fields and inspect the backend DB to confirm column names. Also check the VEHICLE_DELIVERY_GET_API response to see which names it returns on read-back.</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VehicleDelivery.jsx, src/component/api/apiRoutes.js</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2471A3"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#8</w:t>
            </w:r>
          </w:p>
        </w:tc>
        <w:tc>
          <w:tcPr>
            <w:tcW w:type="dxa" w:w="7500"/>
            <w:tcBorders>
              <w:top w:val="none" w:sz="0"/>
              <w:left w:val="none" w:sz="0"/>
              <w:bottom w:val="none" w:sz="0"/>
              <w:right w:val="none" w:sz="0"/>
            </w:tcBorders>
            <w:shd w:fill="EBF5FB"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Stale "Release (to Mandate &amp; e-Sign)" action in HO Delivery Verification</w:t>
            </w:r>
          </w:p>
        </w:tc>
        <w:tc>
          <w:tcPr>
            <w:tcW w:type="dxa" w:w="1400"/>
            <w:tcBorders>
              <w:top w:val="none" w:sz="0"/>
              <w:left w:val="none" w:sz="0"/>
              <w:bottom w:val="none" w:sz="0"/>
              <w:right w:val="none" w:sz="0"/>
            </w:tcBorders>
            <w:shd w:fill="EBF5FB"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2471A3"/>
                <w:sz w:val="18"/>
                <w:szCs w:val="18"/>
              </w:rPr>
              <w:t xml:space="preserve">Medium</w:t>
            </w: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Missing Backend</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HODeliveryVerification.jsx still offers a "release" action option that pre-dates the mid-project reorder where e-Mandate/e-Sign was moved BEFORE vehicle delivery. This action is documented as no longer applicable but still exists in the UI and POST body.</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Remove or disable the "release" action from the UI and the POST body options. Only "referBack" and "verifyRelease" are valid after the reorder.</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HODeliveryVerification.jsx</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2471A3"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#10</w:t>
            </w:r>
          </w:p>
        </w:tc>
        <w:tc>
          <w:tcPr>
            <w:tcW w:type="dxa" w:w="7500"/>
            <w:tcBorders>
              <w:top w:val="none" w:sz="0"/>
              <w:left w:val="none" w:sz="0"/>
              <w:bottom w:val="none" w:sz="0"/>
              <w:right w:val="none" w:sz="0"/>
            </w:tcBorders>
            <w:shd w:fill="EBF5FB"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5 applicant field names sent to backend but never confirmed</w:t>
            </w:r>
          </w:p>
        </w:tc>
        <w:tc>
          <w:tcPr>
            <w:tcW w:type="dxa" w:w="1400"/>
            <w:tcBorders>
              <w:top w:val="none" w:sz="0"/>
              <w:left w:val="none" w:sz="0"/>
              <w:bottom w:val="none" w:sz="0"/>
              <w:right w:val="none" w:sz="0"/>
            </w:tcBorders>
            <w:shd w:fill="EBF5FB"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2471A3"/>
                <w:sz w:val="18"/>
                <w:szCs w:val="18"/>
              </w:rPr>
              <w:t xml:space="preserve">Medium</w:t>
            </w: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Missing Backend</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applicant_gender, applicant_marital_status, co_applicant_relation, co_applicant_gender, and co_applicant_marital_status are posted to /application/create but column names were never verified against the DB. These fields drive key eligibility rules (e.g. unmarried female applicant = not eligible).</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Curl the create endpoint and inspect the DB schema. If the column names differ, the eligibility data is silently not being stored and loans may be approved for ineligible applicants.</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CustomerOnboarding/ApplicantVerification.jsx, src/component/api/apiRoutes.js</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p>
      <w:pPr>
        <w:spacing w:after="160"/>
      </w:pPr>
    </w:p>
    <w:p>
      <w:pPr>
        <w:shd w:fill="2C3E50" w:val="clear"/>
        <w:spacing w:after="0" w:before="200"/>
        <w:ind w:left="160" w:right="160"/>
      </w:pPr>
      <w:r>
        <w:rPr>
          <w:rFonts w:ascii="Calibri" w:cs="Calibri" w:eastAsia="Calibri" w:hAnsi="Calibri"/>
          <w:b/>
          <w:bCs/>
          <w:i w:val="false"/>
          <w:iCs w:val="false"/>
          <w:color w:val="FFFFFF"/>
          <w:sz w:val="22"/>
          <w:szCs w:val="22"/>
        </w:rPr>
        <w:t xml:space="preserve">Data Integrity</w:t>
      </w:r>
    </w:p>
    <w:p>
      <w:pPr>
        <w:spacing w:after="12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D68910"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#4</w:t>
            </w:r>
          </w:p>
        </w:tc>
        <w:tc>
          <w:tcPr>
            <w:tcW w:type="dxa" w:w="7500"/>
            <w:tcBorders>
              <w:top w:val="none" w:sz="0"/>
              <w:left w:val="none" w:sz="0"/>
              <w:bottom w:val="none" w:sz="0"/>
              <w:right w:val="none" w:sz="0"/>
            </w:tcBorders>
            <w:shd w:fill="FEF9E7"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API field typo — vehicle_delevery_status (misspelled)</w:t>
            </w:r>
          </w:p>
        </w:tc>
        <w:tc>
          <w:tcPr>
            <w:tcW w:type="dxa" w:w="1400"/>
            <w:tcBorders>
              <w:top w:val="none" w:sz="0"/>
              <w:left w:val="none" w:sz="0"/>
              <w:bottom w:val="none" w:sz="0"/>
              <w:right w:val="none" w:sz="0"/>
            </w:tcBorders>
            <w:shd w:fill="FEF9E7"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D68910"/>
                <w:sz w:val="18"/>
                <w:szCs w:val="18"/>
              </w:rPr>
              <w:t xml:space="preserve">High</w:t>
            </w:r>
          </w:p>
        </w:tc>
      </w:tr>
      <w:tr>
        <w:tc>
          <w:tcPr>
            <w:tcW w:type="dxa" w:w="600"/>
            <w:tcBorders>
              <w:top w:val="none" w:sz="0"/>
              <w:left w:val="none" w:sz="0"/>
              <w:bottom w:val="none" w:sz="0"/>
              <w:right w:val="none" w:sz="0"/>
            </w:tcBorders>
            <w:shd w:fill="D68910"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Data Integrity</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D68910"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The field driving the vehicle delivery stage of the entire status machine is misspelled in the API response. Every consumer (leadStatus.js, all dashboards) depends on the typo being consistent. If the backend ever corrects the spelling, all front-end status reads silently break.</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D68910"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Add a single normalisation shim in leadStatus.js: const deliveryStatus = customer.vehicle_delivery_status ?? customer.vehicle_delevery_status. Then coordinate a rename with the backend team and remove the shim.</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src/component/utils/leadStatus.js, all dashboard components</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D68910"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#5</w:t>
            </w:r>
          </w:p>
        </w:tc>
        <w:tc>
          <w:tcPr>
            <w:tcW w:type="dxa" w:w="7500"/>
            <w:tcBorders>
              <w:top w:val="none" w:sz="0"/>
              <w:left w:val="none" w:sz="0"/>
              <w:bottom w:val="none" w:sz="0"/>
              <w:right w:val="none" w:sz="0"/>
            </w:tcBorders>
            <w:shd w:fill="FEF9E7"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dealer_id / id field remapping is fragile and undocumented</w:t>
            </w:r>
          </w:p>
        </w:tc>
        <w:tc>
          <w:tcPr>
            <w:tcW w:type="dxa" w:w="1400"/>
            <w:tcBorders>
              <w:top w:val="none" w:sz="0"/>
              <w:left w:val="none" w:sz="0"/>
              <w:bottom w:val="none" w:sz="0"/>
              <w:right w:val="none" w:sz="0"/>
            </w:tcBorders>
            <w:shd w:fill="FEF9E7"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D68910"/>
                <w:sz w:val="18"/>
                <w:szCs w:val="18"/>
              </w:rPr>
              <w:t xml:space="preserve">High</w:t>
            </w:r>
          </w:p>
        </w:tc>
      </w:tr>
      <w:tr>
        <w:tc>
          <w:tcPr>
            <w:tcW w:type="dxa" w:w="600"/>
            <w:tcBorders>
              <w:top w:val="none" w:sz="0"/>
              <w:left w:val="none" w:sz="0"/>
              <w:bottom w:val="none" w:sz="0"/>
              <w:right w:val="none" w:sz="0"/>
            </w:tcBorders>
            <w:shd w:fill="D68910"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Data Integrity</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D68910"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OtpVerify.jsx explicitly remaps data.id → dealer_id when storing in localStorage because Login returns .id but every other page reads .dealer_id. This mismatch already caused one production bug. The fix is buried in one component with no comment.</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D68910"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Add a clear inline comment explaining the remap. Extract a normaliseSession() helper that enforces the mapping so it cannot be accidentally dropped during refactoring.</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OtpVerify.jsx, Login.jsx</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2471A3"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#12</w:t>
            </w:r>
          </w:p>
        </w:tc>
        <w:tc>
          <w:tcPr>
            <w:tcW w:type="dxa" w:w="7500"/>
            <w:tcBorders>
              <w:top w:val="none" w:sz="0"/>
              <w:left w:val="none" w:sz="0"/>
              <w:bottom w:val="none" w:sz="0"/>
              <w:right w:val="none" w:sz="0"/>
            </w:tcBorders>
            <w:shd w:fill="EBF5FB"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Double-JSON-encoded fields — no schema doc for the customer record</w:t>
            </w:r>
          </w:p>
        </w:tc>
        <w:tc>
          <w:tcPr>
            <w:tcW w:type="dxa" w:w="1400"/>
            <w:tcBorders>
              <w:top w:val="none" w:sz="0"/>
              <w:left w:val="none" w:sz="0"/>
              <w:bottom w:val="none" w:sz="0"/>
              <w:right w:val="none" w:sz="0"/>
            </w:tcBorders>
            <w:shd w:fill="EBF5FB"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2471A3"/>
                <w:sz w:val="18"/>
                <w:szCs w:val="18"/>
              </w:rPr>
              <w:t xml:space="preserve">Medium</w:t>
            </w: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Data Integrity</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applicant_cb_response, co_applicant_cb_response, and penny_drop_response may be double-encoded and require a parseStoredJson helper to unwrap. There is no formal schema for the customer record — FinalReview.jsx (10 sections, ~37 FI fields) is the closest proxy.</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Write a JSON schema or JSDoc typedef for the full customer record and note which fields are double-encoded. This will save time every time a new field is added or a new consumer page is built.</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FI/FinalReview.jsx, LeadDetails.jsx, DealerDetails.jsx</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2471A3"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#13</w:t>
            </w:r>
          </w:p>
        </w:tc>
        <w:tc>
          <w:tcPr>
            <w:tcW w:type="dxa" w:w="7500"/>
            <w:tcBorders>
              <w:top w:val="none" w:sz="0"/>
              <w:left w:val="none" w:sz="0"/>
              <w:bottom w:val="none" w:sz="0"/>
              <w:right w:val="none" w:sz="0"/>
            </w:tcBorders>
            <w:shd w:fill="EBF5FB"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mandate_status not in shared status machine</w:t>
            </w:r>
          </w:p>
        </w:tc>
        <w:tc>
          <w:tcPr>
            <w:tcW w:type="dxa" w:w="1400"/>
            <w:tcBorders>
              <w:top w:val="none" w:sz="0"/>
              <w:left w:val="none" w:sz="0"/>
              <w:bottom w:val="none" w:sz="0"/>
              <w:right w:val="none" w:sz="0"/>
            </w:tcBorders>
            <w:shd w:fill="EBF5FB"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2471A3"/>
                <w:sz w:val="18"/>
                <w:szCs w:val="18"/>
              </w:rPr>
              <w:t xml:space="preserve">Medium</w:t>
            </w: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Data Integrity</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mandate_status is tracked only inside LoanExecution.jsx — it is not part of leadStatus.js. No dashboard shows a separate "Mandate Pending" stage; it is hidden inside post_sanction_pending. Adding a visible mandate stage later would require changes across every dashboard.</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Add mandate_status as a readable field from the customer record and extend leadStatus.js to include a mandate_pending state between sanction_pending and delivered.</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LoanExecution.jsx, src/component/utils/leadStatus.js</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p>
      <w:pPr>
        <w:spacing w:after="160"/>
      </w:pPr>
    </w:p>
    <w:p>
      <w:pPr>
        <w:shd w:fill="2C3E50" w:val="clear"/>
        <w:spacing w:after="0" w:before="200"/>
        <w:ind w:left="160" w:right="160"/>
      </w:pPr>
      <w:r>
        <w:rPr>
          <w:rFonts w:ascii="Calibri" w:cs="Calibri" w:eastAsia="Calibri" w:hAnsi="Calibri"/>
          <w:b/>
          <w:bCs/>
          <w:i w:val="false"/>
          <w:iCs w:val="false"/>
          <w:color w:val="FFFFFF"/>
          <w:sz w:val="22"/>
          <w:szCs w:val="22"/>
        </w:rPr>
        <w:t xml:space="preserve">Code Quality</w:t>
      </w:r>
    </w:p>
    <w:p>
      <w:pPr>
        <w:spacing w:after="12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2471A3"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#9</w:t>
            </w:r>
          </w:p>
        </w:tc>
        <w:tc>
          <w:tcPr>
            <w:tcW w:type="dxa" w:w="7500"/>
            <w:tcBorders>
              <w:top w:val="none" w:sz="0"/>
              <w:left w:val="none" w:sz="0"/>
              <w:bottom w:val="none" w:sz="0"/>
              <w:right w:val="none" w:sz="0"/>
            </w:tcBorders>
            <w:shd w:fill="EBF5FB"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LTV / EMI formula duplicated in two files</w:t>
            </w:r>
          </w:p>
        </w:tc>
        <w:tc>
          <w:tcPr>
            <w:tcW w:type="dxa" w:w="1400"/>
            <w:tcBorders>
              <w:top w:val="none" w:sz="0"/>
              <w:left w:val="none" w:sz="0"/>
              <w:bottom w:val="none" w:sz="0"/>
              <w:right w:val="none" w:sz="0"/>
            </w:tcBorders>
            <w:shd w:fill="EBF5FB"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2471A3"/>
                <w:sz w:val="18"/>
                <w:szCs w:val="18"/>
              </w:rPr>
              <w:t xml:space="preserve">Medium</w:t>
            </w: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Code Quality</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INTEREST_RATE_ANNUAL = 30 and the reducing-balance EMI formula are copy-pasted identically in OfferSummary.jsx and SanctionReview.jsx. A policy rate change requires two code edits, and any drift between the two copies would show different figures to the dealer vs. HO.</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Extract the formula to src/component/utils/loanCalc.js and import it in both files. One source of truth, one place to update when the rate changes.</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OfferSummary.jsx, FI/SanctionReview.jsx</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2471A3"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#11</w:t>
            </w:r>
          </w:p>
        </w:tc>
        <w:tc>
          <w:tcPr>
            <w:tcW w:type="dxa" w:w="7500"/>
            <w:tcBorders>
              <w:top w:val="none" w:sz="0"/>
              <w:left w:val="none" w:sz="0"/>
              <w:bottom w:val="none" w:sz="0"/>
              <w:right w:val="none" w:sz="0"/>
            </w:tcBorders>
            <w:shd w:fill="EBF5FB"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No TypeScript — field name bugs are invisible at build time</w:t>
            </w:r>
          </w:p>
        </w:tc>
        <w:tc>
          <w:tcPr>
            <w:tcW w:type="dxa" w:w="1400"/>
            <w:tcBorders>
              <w:top w:val="none" w:sz="0"/>
              <w:left w:val="none" w:sz="0"/>
              <w:bottom w:val="none" w:sz="0"/>
              <w:right w:val="none" w:sz="0"/>
            </w:tcBorders>
            <w:shd w:fill="EBF5FB"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2471A3"/>
                <w:sz w:val="18"/>
                <w:szCs w:val="18"/>
              </w:rPr>
              <w:t xml:space="preserve">Medium</w:t>
            </w: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Code Quality</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The dealer_id vs id bug and the vehicle_delevery_status typo both went undetected because there is no type safety. With ~20 pages sharing one large customer record object, silent field mismatches are high risk.</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Migrate incrementally — add JSDoc @typedef for the core customer record shape, or enable TypeScript with allowJs: true in tsconfig so new files can be typed without migrating everything at once.</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All components reading the customer record</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2471A3"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#14</w:t>
            </w:r>
          </w:p>
        </w:tc>
        <w:tc>
          <w:tcPr>
            <w:tcW w:type="dxa" w:w="7500"/>
            <w:tcBorders>
              <w:top w:val="none" w:sz="0"/>
              <w:left w:val="none" w:sz="0"/>
              <w:bottom w:val="none" w:sz="0"/>
              <w:right w:val="none" w:sz="0"/>
            </w:tcBorders>
            <w:shd w:fill="EBF5FB"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No shared state management — localStorage used as cross-page store</w:t>
            </w:r>
          </w:p>
        </w:tc>
        <w:tc>
          <w:tcPr>
            <w:tcW w:type="dxa" w:w="1400"/>
            <w:tcBorders>
              <w:top w:val="none" w:sz="0"/>
              <w:left w:val="none" w:sz="0"/>
              <w:bottom w:val="none" w:sz="0"/>
              <w:right w:val="none" w:sz="0"/>
            </w:tcBorders>
            <w:shd w:fill="EBF5FB"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2471A3"/>
                <w:sz w:val="18"/>
                <w:szCs w:val="18"/>
              </w:rPr>
              <w:t xml:space="preserve">Medium</w:t>
            </w: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Code Quality</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Cross-page data (applicant mobile numbers for duplicate checks in Stage 2, session data) is persisted to localStorage as an ad-hoc state bus. This makes data flow hard to trace and creates stale-read bugs when pages are navigated to directly.</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Introduce a lightweight store (Zustand or React Context) for cross-page session data. Reserve localStorage only for genuine persistence across hard reloads.</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CustomerOnboarding/ApplicantVerification.jsx, DocumentCollection.jsx</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1E8449"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#17</w:t>
            </w:r>
          </w:p>
        </w:tc>
        <w:tc>
          <w:tcPr>
            <w:tcW w:type="dxa" w:w="7500"/>
            <w:tcBorders>
              <w:top w:val="none" w:sz="0"/>
              <w:left w:val="none" w:sz="0"/>
              <w:bottom w:val="none" w:sz="0"/>
              <w:right w:val="none" w:sz="0"/>
            </w:tcBorders>
            <w:shd w:fill="EAFAF1"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Inconsistent folder structure — role does not match folder</w:t>
            </w:r>
          </w:p>
        </w:tc>
        <w:tc>
          <w:tcPr>
            <w:tcW w:type="dxa" w:w="1400"/>
            <w:tcBorders>
              <w:top w:val="none" w:sz="0"/>
              <w:left w:val="none" w:sz="0"/>
              <w:bottom w:val="none" w:sz="0"/>
              <w:right w:val="none" w:sz="0"/>
            </w:tcBorders>
            <w:shd w:fill="EAFAF1"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1E8449"/>
                <w:sz w:val="18"/>
                <w:szCs w:val="18"/>
              </w:rPr>
              <w:t xml:space="preserve">Low</w:t>
            </w:r>
          </w:p>
        </w:tc>
      </w:tr>
      <w:tr>
        <w:tc>
          <w:tcPr>
            <w:tcW w:type="dxa" w:w="600"/>
            <w:tcBorders>
              <w:top w:val="none" w:sz="0"/>
              <w:left w:val="none" w:sz="0"/>
              <w:bottom w:val="none" w:sz="0"/>
              <w:right w:val="none" w:sz="0"/>
            </w:tcBorders>
            <w:shd w:fill="1E8449"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Code Quality</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1E8449"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HoDashboard.jsx and HODeliveryVerification.jsx live at the top-level of component/ while SanctionReview.jsx and FinalReview.jsx (also HO-facing) live under FI/. New developers will look in the wrong place for HO pages.</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1E8449"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Move HO-specific pages into a HO/ folder (or clearly document the current structure). Update all imports and App.js route references accordingly.</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src/component/ (top-level), src/component/FI/</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p>
      <w:pPr>
        <w:spacing w:after="160"/>
      </w:pPr>
    </w:p>
    <w:p>
      <w:pPr>
        <w:shd w:fill="2C3E50" w:val="clear"/>
        <w:spacing w:after="0" w:before="200"/>
        <w:ind w:left="160" w:right="160"/>
      </w:pPr>
      <w:r>
        <w:rPr>
          <w:rFonts w:ascii="Calibri" w:cs="Calibri" w:eastAsia="Calibri" w:hAnsi="Calibri"/>
          <w:b/>
          <w:bCs/>
          <w:i w:val="false"/>
          <w:iCs w:val="false"/>
          <w:color w:val="FFFFFF"/>
          <w:sz w:val="22"/>
          <w:szCs w:val="22"/>
        </w:rPr>
        <w:t xml:space="preserve">Missing Features</w:t>
      </w:r>
    </w:p>
    <w:p>
      <w:pPr>
        <w:spacing w:after="12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2471A3"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#16</w:t>
            </w:r>
          </w:p>
        </w:tc>
        <w:tc>
          <w:tcPr>
            <w:tcW w:type="dxa" w:w="7500"/>
            <w:tcBorders>
              <w:top w:val="none" w:sz="0"/>
              <w:left w:val="none" w:sz="0"/>
              <w:bottom w:val="none" w:sz="0"/>
              <w:right w:val="none" w:sz="0"/>
            </w:tcBorders>
            <w:shd w:fill="EBF5FB"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No real PDF generation — browser print dialog only</w:t>
            </w:r>
          </w:p>
        </w:tc>
        <w:tc>
          <w:tcPr>
            <w:tcW w:type="dxa" w:w="1400"/>
            <w:tcBorders>
              <w:top w:val="none" w:sz="0"/>
              <w:left w:val="none" w:sz="0"/>
              <w:bottom w:val="none" w:sz="0"/>
              <w:right w:val="none" w:sz="0"/>
            </w:tcBorders>
            <w:shd w:fill="EBF5FB"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2471A3"/>
                <w:sz w:val="18"/>
                <w:szCs w:val="18"/>
              </w:rPr>
              <w:t xml:space="preserve">Medium</w:t>
            </w: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Missing Features</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Final Review's 'Generate PDF' triggers window.print() and @media print CSS. This opens the browser's native print dialog (Save as PDF), not a downloadable binary .pdf file. Output is inconsistent across browsers and cannot be generated server-side or attached to emails.</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2471A3"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Install jspdf + html2canvas (or add a puppeteer-based backend endpoint) to produce a real binary PDF. The existing @media print CSS is a useful styling base to start from.</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FI/FinalReview.jsx</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tbl>
      <w:tblPr>
        <w:tblW w:type="dxa" w:w="1000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7500"/>
        <w:gridCol w:w="1400"/>
      </w:tblGrid>
      <w:tr>
        <w:tc>
          <w:tcPr>
            <w:tcW w:type="dxa" w:w="600"/>
            <w:tcBorders>
              <w:top w:val="none" w:sz="0"/>
              <w:left w:val="none" w:sz="0"/>
              <w:bottom w:val="none" w:sz="0"/>
              <w:right w:val="none" w:sz="0"/>
            </w:tcBorders>
            <w:shd w:fill="1E8449" w:val="clear"/>
            <w:tcMar>
              <w:top w:type="dxa" w:w="100"/>
              <w:left w:type="dxa" w:w="120"/>
              <w:bottom w:type="dxa" w:w="100"/>
              <w:right w:type="dxa" w:w="80"/>
            </w:tcMar>
            <w:vAlign w:val="top"/>
          </w:tcPr>
          <w:p>
            <w:pPr>
              <w:spacing w:after="80"/>
              <w:jc w:val="left"/>
            </w:pPr>
            <w:r>
              <w:rPr>
                <w:rFonts w:ascii="Calibri" w:cs="Calibri" w:eastAsia="Calibri" w:hAnsi="Calibri"/>
                <w:b/>
                <w:bCs/>
                <w:i w:val="false"/>
                <w:iCs w:val="false"/>
                <w:color w:val="FFFFFF"/>
                <w:sz w:val="18"/>
                <w:szCs w:val="18"/>
              </w:rPr>
              <w:t xml:space="preserve">#18</w:t>
            </w:r>
          </w:p>
        </w:tc>
        <w:tc>
          <w:tcPr>
            <w:tcW w:type="dxa" w:w="7500"/>
            <w:tcBorders>
              <w:top w:val="none" w:sz="0"/>
              <w:left w:val="none" w:sz="0"/>
              <w:bottom w:val="none" w:sz="0"/>
              <w:right w:val="none" w:sz="0"/>
            </w:tcBorders>
            <w:shd w:fill="EAFAF1" w:val="clear"/>
            <w:tcMar>
              <w:top w:type="dxa" w:w="100"/>
              <w:left w:type="dxa" w:w="120"/>
              <w:bottom w:type="dxa" w:w="100"/>
              <w:right w:type="dxa" w:w="120"/>
            </w:tcMar>
            <w:vAlign w:val="top"/>
          </w:tcPr>
          <w:p>
            <w:pPr>
              <w:spacing w:after="80"/>
              <w:jc w:val="left"/>
            </w:pPr>
            <w:r>
              <w:rPr>
                <w:rFonts w:ascii="Calibri" w:cs="Calibri" w:eastAsia="Calibri" w:hAnsi="Calibri"/>
                <w:b/>
                <w:bCs/>
                <w:i w:val="false"/>
                <w:iCs w:val="false"/>
                <w:color w:val="1C2833"/>
                <w:sz w:val="20"/>
                <w:szCs w:val="20"/>
              </w:rPr>
              <w:t xml:space="preserve">Video PD GPS fallback was removed without replacement</w:t>
            </w:r>
          </w:p>
        </w:tc>
        <w:tc>
          <w:tcPr>
            <w:tcW w:type="dxa" w:w="1400"/>
            <w:tcBorders>
              <w:top w:val="none" w:sz="0"/>
              <w:left w:val="none" w:sz="0"/>
              <w:bottom w:val="none" w:sz="0"/>
              <w:right w:val="none" w:sz="0"/>
            </w:tcBorders>
            <w:shd w:fill="EAFAF1" w:val="clear"/>
            <w:tcMar>
              <w:top w:type="dxa" w:w="100"/>
              <w:left w:type="dxa" w:w="80"/>
              <w:bottom w:type="dxa" w:w="100"/>
              <w:right w:type="dxa" w:w="120"/>
            </w:tcMar>
            <w:vAlign w:val="top"/>
          </w:tcPr>
          <w:p>
            <w:pPr>
              <w:spacing w:after="80"/>
              <w:jc w:val="right"/>
            </w:pPr>
            <w:r>
              <w:rPr>
                <w:rFonts w:ascii="Calibri" w:cs="Calibri" w:eastAsia="Calibri" w:hAnsi="Calibri"/>
                <w:b/>
                <w:bCs/>
                <w:i w:val="false"/>
                <w:iCs w:val="false"/>
                <w:color w:val="1E8449"/>
                <w:sz w:val="18"/>
                <w:szCs w:val="18"/>
              </w:rPr>
              <w:t xml:space="preserve">Low</w:t>
            </w:r>
          </w:p>
        </w:tc>
      </w:tr>
      <w:tr>
        <w:tc>
          <w:tcPr>
            <w:tcW w:type="dxa" w:w="600"/>
            <w:tcBorders>
              <w:top w:val="none" w:sz="0"/>
              <w:left w:val="none" w:sz="0"/>
              <w:bottom w:val="none" w:sz="0"/>
              <w:right w:val="none" w:sz="0"/>
            </w:tcBorders>
            <w:shd w:fill="1E8449"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AFAFA" w:val="clear"/>
            <w:tcMar>
              <w:top w:type="dxa" w:w="60"/>
              <w:left w:type="dxa" w:w="120"/>
              <w:bottom w:type="dxa" w:w="60"/>
              <w:right w:type="dxa" w:w="120"/>
            </w:tcMar>
            <w:vAlign w:val="top"/>
          </w:tcPr>
          <w:p>
            <w:pPr>
              <w:spacing w:after="80"/>
              <w:jc w:val="left"/>
            </w:pPr>
            <w:r>
              <w:rPr>
                <w:rFonts w:ascii="Calibri" w:cs="Calibri" w:eastAsia="Calibri" w:hAnsi="Calibri"/>
                <w:b/>
                <w:bCs/>
                <w:i w:val="false"/>
                <w:iCs w:val="false"/>
                <w:color w:val="7F8C8D"/>
                <w:sz w:val="18"/>
                <w:szCs w:val="18"/>
              </w:rPr>
              <w:t xml:space="preserve">Category: </w:t>
            </w:r>
            <w:r>
              <w:rPr>
                <w:rFonts w:ascii="Calibri" w:cs="Calibri" w:eastAsia="Calibri" w:hAnsi="Calibri"/>
                <w:b w:val="false"/>
                <w:bCs w:val="false"/>
                <w:i w:val="false"/>
                <w:iCs w:val="false"/>
                <w:color w:val="7F8C8D"/>
                <w:sz w:val="18"/>
                <w:szCs w:val="18"/>
              </w:rPr>
              <w:t xml:space="preserve">Missing Features</w:t>
            </w:r>
          </w:p>
        </w:tc>
        <w:tc>
          <w:tcPr>
            <w:tcW w:type="dxa" w:w="1400"/>
            <w:tcBorders>
              <w:top w:val="none" w:sz="0"/>
              <w:left w:val="none" w:sz="0"/>
              <w:bottom w:val="none" w:sz="0"/>
              <w:right w:val="none" w:sz="0"/>
            </w:tcBorders>
            <w:shd w:fill="FAFAFA"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1E8449"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FFFFF" w:val="clear"/>
            <w:tcMar>
              <w:top w:type="dxa" w:w="100"/>
              <w:left w:type="dxa" w:w="120"/>
              <w:bottom w:type="dxa" w:w="60"/>
              <w:right w:type="dxa" w:w="120"/>
            </w:tcMar>
            <w:vAlign w:val="top"/>
          </w:tcPr>
          <w:p>
            <w:pPr>
              <w:spacing w:after="80"/>
              <w:jc w:val="left"/>
            </w:pPr>
            <w:r>
              <w:rPr>
                <w:rFonts w:ascii="Calibri" w:cs="Calibri" w:eastAsia="Calibri" w:hAnsi="Calibri"/>
                <w:b/>
                <w:bCs/>
                <w:i w:val="false"/>
                <w:iCs w:val="false"/>
                <w:color w:val="1C2833"/>
                <w:sz w:val="18"/>
                <w:szCs w:val="18"/>
              </w:rPr>
              <w:t xml:space="preserve">Issue</w:t>
            </w:r>
          </w:p>
          <w:p>
            <w:pPr>
              <w:spacing w:after="120"/>
              <w:jc w:val="left"/>
            </w:pPr>
            <w:r>
              <w:rPr>
                <w:rFonts w:ascii="Calibri" w:cs="Calibri" w:eastAsia="Calibri" w:hAnsi="Calibri"/>
                <w:b w:val="false"/>
                <w:bCs w:val="false"/>
                <w:i w:val="false"/>
                <w:iCs w:val="false"/>
                <w:color w:val="1C2833"/>
                <w:sz w:val="18"/>
                <w:szCs w:val="18"/>
              </w:rPr>
              <w:t xml:space="preserve">CustomerDetails.jsx previously captured the FI officer's device GPS as a fallback for distance calculation. It was removed — now only vpdLocation (from the Video PD webhook) is used. If the Video PD session does not embed location (poor connectivity etc.), distance fields will be null or zero.</w:t>
            </w:r>
          </w:p>
        </w:tc>
        <w:tc>
          <w:tcPr>
            <w:tcW w:type="dxa" w:w="1400"/>
            <w:tcBorders>
              <w:top w:val="none" w:sz="0"/>
              <w:left w:val="none" w:sz="0"/>
              <w:bottom w:val="none" w:sz="0"/>
              <w:right w:val="none" w:sz="0"/>
            </w:tcBorders>
            <w:shd w:fill="FFFFFF" w:val="clear"/>
            <w:tcMar>
              <w:top w:type="dxa" w:w="80"/>
              <w:left w:type="dxa" w:w="120"/>
              <w:bottom w:type="dxa" w:w="80"/>
              <w:right w:type="dxa" w:w="120"/>
            </w:tcMar>
            <w:vAlign w:val="top"/>
          </w:tcPr>
          <w:p/>
        </w:tc>
      </w:tr>
      <w:tr>
        <w:tc>
          <w:tcPr>
            <w:tcW w:type="dxa" w:w="600"/>
            <w:tcBorders>
              <w:top w:val="none" w:sz="0"/>
              <w:left w:val="none" w:sz="0"/>
              <w:bottom w:val="none" w:sz="0"/>
              <w:right w:val="none" w:sz="0"/>
            </w:tcBorders>
            <w:shd w:fill="1E8449" w:val="clear"/>
            <w:tcMar>
              <w:top w:type="dxa" w:w="80"/>
              <w:left w:type="dxa" w:w="120"/>
              <w:bottom w:type="dxa" w:w="80"/>
              <w:right w:type="dxa" w:w="120"/>
            </w:tcMar>
            <w:vAlign w:val="top"/>
          </w:tcPr>
          <w:p/>
        </w:tc>
        <w:tc>
          <w:tcPr>
            <w:tcW w:type="dxa" w:w="8900"/>
            <w:tcBorders>
              <w:top w:val="none" w:sz="0"/>
              <w:left w:val="none" w:sz="0"/>
              <w:bottom w:val="none" w:sz="0"/>
              <w:right w:val="none" w:sz="0"/>
            </w:tcBorders>
            <w:shd w:fill="F8F9FA" w:val="clear"/>
            <w:tcMar>
              <w:top w:type="dxa" w:w="80"/>
              <w:left w:type="dxa" w:w="120"/>
              <w:bottom w:type="dxa" w:w="100"/>
              <w:right w:type="dxa" w:w="120"/>
            </w:tcMar>
            <w:vAlign w:val="top"/>
          </w:tcPr>
          <w:p>
            <w:pPr>
              <w:spacing w:after="80"/>
              <w:jc w:val="left"/>
            </w:pPr>
            <w:r>
              <w:rPr>
                <w:rFonts w:ascii="Calibri" w:cs="Calibri" w:eastAsia="Calibri" w:hAnsi="Calibri"/>
                <w:b/>
                <w:bCs/>
                <w:i w:val="false"/>
                <w:iCs w:val="false"/>
                <w:color w:val="1C2833"/>
                <w:sz w:val="18"/>
                <w:szCs w:val="18"/>
              </w:rPr>
              <w:t xml:space="preserve">Recommended fix</w:t>
            </w:r>
          </w:p>
          <w:p>
            <w:pPr>
              <w:spacing w:after="100"/>
              <w:jc w:val="left"/>
            </w:pPr>
            <w:r>
              <w:rPr>
                <w:rFonts w:ascii="Calibri" w:cs="Calibri" w:eastAsia="Calibri" w:hAnsi="Calibri"/>
                <w:b w:val="false"/>
                <w:bCs w:val="false"/>
                <w:i w:val="false"/>
                <w:iCs w:val="false"/>
                <w:color w:val="1C2833"/>
                <w:sz w:val="18"/>
                <w:szCs w:val="18"/>
              </w:rPr>
              <w:t xml:space="preserve">Decide whether a fallback is needed. If so, re-add navigator.geolocation as a secondary source and label which location source was used in the saved FI record so it is auditable.</w:t>
            </w:r>
          </w:p>
          <w:p>
            <w:pPr>
              <w:spacing w:after="120"/>
              <w:jc w:val="left"/>
            </w:pPr>
            <w:r>
              <w:rPr>
                <w:rFonts w:ascii="Calibri" w:cs="Calibri" w:eastAsia="Calibri" w:hAnsi="Calibri"/>
                <w:b/>
                <w:bCs/>
                <w:i w:val="false"/>
                <w:iCs w:val="false"/>
                <w:color w:val="7F8C8D"/>
                <w:sz w:val="16"/>
                <w:szCs w:val="16"/>
              </w:rPr>
              <w:t xml:space="preserve">Files: </w:t>
            </w:r>
            <w:r>
              <w:rPr>
                <w:rFonts w:ascii="Calibri" w:cs="Calibri" w:eastAsia="Calibri" w:hAnsi="Calibri"/>
                <w:b w:val="false"/>
                <w:bCs w:val="false"/>
                <w:i/>
                <w:iCs/>
                <w:color w:val="7F8C8D"/>
                <w:sz w:val="16"/>
                <w:szCs w:val="16"/>
              </w:rPr>
              <w:t xml:space="preserve">FI/CustomerDetails.jsx</w:t>
            </w:r>
          </w:p>
        </w:tc>
        <w:tc>
          <w:tcPr>
            <w:tcW w:type="dxa" w:w="1400"/>
            <w:tcBorders>
              <w:top w:val="none" w:sz="0"/>
              <w:left w:val="none" w:sz="0"/>
              <w:bottom w:val="none" w:sz="0"/>
              <w:right w:val="none" w:sz="0"/>
            </w:tcBorders>
            <w:shd w:fill="F8F9FA" w:val="clear"/>
            <w:tcMar>
              <w:top w:type="dxa" w:w="80"/>
              <w:left w:type="dxa" w:w="120"/>
              <w:bottom w:type="dxa" w:w="80"/>
              <w:right w:type="dxa" w:w="120"/>
            </w:tcMar>
            <w:vAlign w:val="top"/>
          </w:tcPr>
          <w:p/>
        </w:tc>
      </w:tr>
    </w:tbl>
    <w:p>
      <w:pPr>
        <w:spacing w:after="160"/>
      </w:pPr>
    </w:p>
    <w:p>
      <w:pPr>
        <w:spacing w:after="160"/>
      </w:pPr>
    </w:p>
    <w:p>
      <w:pPr>
        <w:spacing w:after="0" w:before="200"/>
      </w:pPr>
      <w:r>
        <w:rPr>
          <w:rFonts w:ascii="Calibri" w:cs="Calibri" w:eastAsia="Calibri" w:hAnsi="Calibri"/>
          <w:b w:val="false"/>
          <w:bCs w:val="false"/>
          <w:i/>
          <w:iCs/>
          <w:color w:val="7F8C8D"/>
          <w:sz w:val="18"/>
          <w:szCs w:val="18"/>
        </w:rPr>
        <w:t xml:space="preserve">Note: "Confirmed via curl" endpoints in apiRoutes.js are safe to rely on. Anything marked as a guess or placeholder must be verified with the backend team before being treated as production-ready.</w:t>
      </w:r>
    </w:p>
    <w:sectPr>
      <w:pgSz w:w="11906" w:h="16838"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2026-08-03T08:18:27.616Z</dcterms:created>
  <dcterms:modified xsi:type="dcterms:W3CDTF">2026-08-03T08:18:27.620Z</dcterms:modified>
</cp:coreProperties>
</file>

<file path=docProps/custom.xml><?xml version="1.0" encoding="utf-8"?>
<Properties xmlns="http://schemas.openxmlformats.org/officeDocument/2006/custom-properties" xmlns:vt="http://schemas.openxmlformats.org/officeDocument/2006/docPropsVTypes"/>
</file>