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customer data; privileges need to be limited to reduce the risk of a breach.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disaster recovery plans in place. These need to be implemented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Employee password requirements are minimal, which could allow a threat actor to more easily access secure data/other assets via employee work equipment/the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Needs to be implemented to reduce the possibility of fraud/access to critical data, since the company CEO currently runs day-to-day operations and manages the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existing firewall blocks traffic based on an appropriately defined set of security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i w:val="1"/>
                <w:i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an IDS in place to help identify possible intrusions by threat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to have backups of critical data, in the case of a breach,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Antivirus software is installed and monitored regularly by the IT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implementing it would provide greater confidentiality of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password management system currently in place; implementing this control would improve IT department/other employee productivity in the case of password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store’s physical location, which includes the company’s main offices, store front, and warehouse of products, has sufficient 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CCTV is installed/functioning at the store’s 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Botium Toys’ physical location has a functioning fire detection and prevention system.</w:t>
            </w:r>
          </w:p>
        </w:tc>
      </w:tr>
    </w:tbl>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9">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4A">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B">
      <w:pPr>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r w:rsidDel="00000000" w:rsidR="00000000" w:rsidRPr="00000000">
        <w:rPr>
          <w:rtl w:val="0"/>
        </w:rPr>
      </w:r>
    </w:p>
    <w:p w:rsidR="00000000" w:rsidDel="00000000" w:rsidP="00000000" w:rsidRDefault="00000000" w:rsidRPr="00000000" w14:paraId="0000004C">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D">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the company’s internal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Credit card information is not encrypted and all employees currently have access to internal data, including customers’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Password policies are nominal and no password management system is currently in place.</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a plan to notify E.U. customers within 72 hours of a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 assets have been inventoried/listed, but not 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Privacy policies, procedures, and processes have been developed and enforced among IT team members and other employees, as needed.</w:t>
            </w:r>
          </w:p>
        </w:tc>
      </w:tr>
    </w:tbl>
    <w:p w:rsidR="00000000" w:rsidDel="00000000" w:rsidP="00000000" w:rsidRDefault="00000000" w:rsidRPr="00000000" w14:paraId="0000007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Controls of Least Privilege and separation of duties are not currently in place; all employees have access to internally stored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to better ensure the confidentiality of PII/SPII.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integrity is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While data is available to all employees, authorization needs to be limited to only the individuals who need access to it to do their jobs.</w:t>
            </w:r>
          </w:p>
        </w:tc>
      </w:tr>
    </w:tbl>
    <w:p w:rsidR="00000000" w:rsidDel="00000000" w:rsidP="00000000" w:rsidRDefault="00000000" w:rsidRPr="00000000" w14:paraId="00000090">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9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94">
      <w:pPr>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9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