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A8E4B"/>
          <w:sz w:val="36"/>
        </w:rPr>
        <w:t>TAX PORTAL — END-TO-END PROJECT WORKFLOW SPECIFICATION</w:t>
      </w:r>
    </w:p>
    <w:p>
      <w:pPr>
        <w:jc w:val="center"/>
      </w:pPr>
      <w:r>
        <w:rPr>
          <w:rFonts w:ascii="Segoe UI" w:hAnsi="Segoe UI"/>
          <w:i/>
          <w:color w:val="64748B"/>
          <w:sz w:val="22"/>
        </w:rPr>
        <w:t>Executive Architecture &amp; Operational Guide | Assessment Year 2026-27</w:t>
      </w:r>
    </w:p>
    <w:p/>
    <w:p>
      <w:r>
        <w:rPr>
          <w:b/>
          <w:color w:val="1E293B"/>
        </w:rPr>
        <w:t>PROJECT ARCHITECTURAL SUMMARY:</w:t>
        <w:br/>
      </w:r>
      <w:r>
        <w:rPr>
          <w:color w:val="475569"/>
          <w:sz w:val="19"/>
        </w:rPr>
        <w:t>This specification details the core business workflows of the Tax Portal platform: Self Filing (DIY ITR), Hire Agent (CA-Assisted Filing), Government ITD Notice Defense, and the Admin Payment &amp; Coupon Management System. All tracks are structured into a 4-column matrix containing the Module, Workflow Stage, Process Description, and Key Deliverables.</w:t>
      </w:r>
    </w:p>
    <w:p/>
    <w:p>
      <w:pPr>
        <w:pStyle w:val="Heading2"/>
      </w:pPr>
      <w:r>
        <w:rPr>
          <w:rFonts w:ascii="Segoe UI" w:hAnsi="Segoe UI"/>
          <w:b/>
          <w:color w:val="0A8E4B"/>
          <w:sz w:val="26"/>
        </w:rPr>
        <w:t>1. Track 1: Self Filing Flow (Do-It-Yourself ITR)</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728"/>
            <w:shd w:fill="0A8E4B"/>
          </w:tcPr>
          <w:p>
            <w:pPr>
              <w:jc w:val="center"/>
            </w:pPr>
            <w:r>
              <w:rPr>
                <w:rFonts w:ascii="Segoe UI" w:hAnsi="Segoe UI"/>
                <w:b/>
                <w:color w:val="FFFFFF"/>
                <w:sz w:val="20"/>
              </w:rPr>
              <w:t>Flow / Module</w:t>
            </w:r>
          </w:p>
        </w:tc>
        <w:tc>
          <w:tcPr>
            <w:tcW w:type="dxa" w:w="2160"/>
            <w:shd w:fill="0A8E4B"/>
          </w:tcPr>
          <w:p>
            <w:pPr>
              <w:jc w:val="center"/>
            </w:pPr>
            <w:r>
              <w:rPr>
                <w:rFonts w:ascii="Segoe UI" w:hAnsi="Segoe UI"/>
                <w:b/>
                <w:color w:val="FFFFFF"/>
                <w:sz w:val="20"/>
              </w:rPr>
              <w:t>Workflow Stage</w:t>
            </w:r>
          </w:p>
        </w:tc>
        <w:tc>
          <w:tcPr>
            <w:tcW w:type="dxa" w:w="4464"/>
            <w:shd w:fill="0A8E4B"/>
          </w:tcPr>
          <w:p>
            <w:pPr>
              <w:jc w:val="center"/>
            </w:pPr>
            <w:r>
              <w:rPr>
                <w:rFonts w:ascii="Segoe UI" w:hAnsi="Segoe UI"/>
                <w:b/>
                <w:color w:val="FFFFFF"/>
                <w:sz w:val="20"/>
              </w:rPr>
              <w:t>Process Description</w:t>
            </w:r>
          </w:p>
        </w:tc>
        <w:tc>
          <w:tcPr>
            <w:tcW w:type="dxa" w:w="2160"/>
            <w:shd w:fill="0A8E4B"/>
          </w:tcPr>
          <w:p>
            <w:pPr>
              <w:jc w:val="center"/>
            </w:pPr>
            <w:r>
              <w:rPr>
                <w:rFonts w:ascii="Segoe UI" w:hAnsi="Segoe UI"/>
                <w:b/>
                <w:color w:val="FFFFFF"/>
                <w:sz w:val="20"/>
              </w:rPr>
              <w:t>Key Deliverable</w:t>
            </w:r>
          </w:p>
        </w:tc>
      </w:tr>
      <w:tr>
        <w:tc>
          <w:tcPr>
            <w:tcW w:type="dxa" w:w="1728"/>
            <w:shd w:fill="F4FBF7"/>
          </w:tcPr>
          <w:p>
            <w:pPr>
              <w:jc w:val="center"/>
            </w:pPr>
            <w:r>
              <w:rPr>
                <w:rFonts w:ascii="Segoe UI" w:hAnsi="Segoe UI"/>
                <w:b/>
                <w:i w:val="0"/>
                <w:color w:val="1E293B"/>
                <w:sz w:val="19"/>
              </w:rPr>
              <w:t>1. Self Filing Flow (DIY Taxpayer)</w:t>
            </w:r>
          </w:p>
        </w:tc>
        <w:tc>
          <w:tcPr>
            <w:tcW w:type="dxa" w:w="2160"/>
            <w:shd w:fill="F4FBF7"/>
          </w:tcPr>
          <w:p>
            <w:pPr>
              <w:jc w:val="left"/>
            </w:pPr>
            <w:r>
              <w:rPr>
                <w:rFonts w:ascii="Segoe UI" w:hAnsi="Segoe UI"/>
                <w:b/>
                <w:i w:val="0"/>
                <w:color w:val="1E293B"/>
                <w:sz w:val="19"/>
              </w:rPr>
              <w:t>Step 1: Customer Authentication &amp; Portal Login</w:t>
            </w:r>
          </w:p>
        </w:tc>
        <w:tc>
          <w:tcPr>
            <w:tcW w:type="dxa" w:w="4464"/>
            <w:shd w:fill="F4FBF7"/>
          </w:tcPr>
          <w:p>
            <w:pPr>
              <w:jc w:val="left"/>
            </w:pPr>
            <w:r>
              <w:rPr>
                <w:rFonts w:ascii="Segoe UI" w:hAnsi="Segoe UI"/>
                <w:b w:val="0"/>
                <w:i w:val="0"/>
                <w:color w:val="252525"/>
                <w:sz w:val="19"/>
              </w:rPr>
              <w:t>The taxpayer logs into the portal using their PAN (Permanent Account Number) and Income Tax Department (ITD) e-filing password or Aadhaar OTP verification. The platform verifies identity, establishes a secure encrypted session, and initializes the AY 2026-27 filing workspace.</w:t>
            </w:r>
          </w:p>
        </w:tc>
        <w:tc>
          <w:tcPr>
            <w:tcW w:type="dxa" w:w="2160"/>
            <w:shd w:fill="F4FBF7"/>
          </w:tcPr>
          <w:p>
            <w:pPr>
              <w:jc w:val="left"/>
            </w:pPr>
            <w:r>
              <w:rPr>
                <w:rFonts w:ascii="Segoe UI" w:hAnsi="Segoe UI"/>
                <w:b/>
                <w:i w:val="0"/>
                <w:color w:val="0A8E4B"/>
                <w:sz w:val="19"/>
              </w:rPr>
              <w:t>Authenticated User Session &amp; Profile Initialization</w:t>
            </w:r>
          </w:p>
        </w:tc>
      </w:tr>
      <w:tr>
        <w:tc>
          <w:tcPr>
            <w:tcW w:type="dxa" w:w="1728"/>
            <w:shd w:fill="F4FBF7"/>
          </w:tcPr>
          <w:p>
            <w:pPr>
              <w:jc w:val="center"/>
            </w:pPr>
            <w:r>
              <w:rPr>
                <w:rFonts w:ascii="Segoe UI" w:hAnsi="Segoe UI"/>
                <w:b/>
                <w:i w:val="0"/>
                <w:color w:val="1E293B"/>
                <w:sz w:val="19"/>
              </w:rPr>
              <w:t>1. Self Filing Flow (DIY Taxpayer)</w:t>
            </w:r>
          </w:p>
        </w:tc>
        <w:tc>
          <w:tcPr>
            <w:tcW w:type="dxa" w:w="2160"/>
            <w:shd w:fill="F4FBF7"/>
          </w:tcPr>
          <w:p>
            <w:pPr>
              <w:jc w:val="left"/>
            </w:pPr>
            <w:r>
              <w:rPr>
                <w:rFonts w:ascii="Segoe UI" w:hAnsi="Segoe UI"/>
                <w:b/>
                <w:i w:val="0"/>
                <w:color w:val="1E293B"/>
                <w:sz w:val="19"/>
              </w:rPr>
              <w:t>Step 2: ITD Live Data Sync (AIS, 26AS &amp; TDS APIs)</w:t>
            </w:r>
          </w:p>
        </w:tc>
        <w:tc>
          <w:tcPr>
            <w:tcW w:type="dxa" w:w="4464"/>
            <w:shd w:fill="F4FBF7"/>
          </w:tcPr>
          <w:p>
            <w:pPr>
              <w:jc w:val="left"/>
            </w:pPr>
            <w:r>
              <w:rPr>
                <w:rFonts w:ascii="Segoe UI" w:hAnsi="Segoe UI"/>
                <w:b w:val="0"/>
                <w:i w:val="0"/>
                <w:color w:val="252525"/>
                <w:sz w:val="19"/>
              </w:rPr>
              <w:t>The platform triggers automated backend API integrations with the Income Tax Department to pull the taxpayer's Annual Information Statement (AIS), Form 26AS (Tax Credit Statement), and TDS/TCS records. Salary credits, dividend receipts, bank interest, securities transactions, and tax deducted are automatically populated into the profile with zero manual entry.</w:t>
            </w:r>
          </w:p>
        </w:tc>
        <w:tc>
          <w:tcPr>
            <w:tcW w:type="dxa" w:w="2160"/>
            <w:shd w:fill="F4FBF7"/>
          </w:tcPr>
          <w:p>
            <w:pPr>
              <w:jc w:val="left"/>
            </w:pPr>
            <w:r>
              <w:rPr>
                <w:rFonts w:ascii="Segoe UI" w:hAnsi="Segoe UI"/>
                <w:b/>
                <w:i w:val="0"/>
                <w:color w:val="0A8E4B"/>
                <w:sz w:val="19"/>
              </w:rPr>
              <w:t>Live Synced AIS, Form 26AS &amp; TDS Tax Credit Dataset</w:t>
            </w:r>
          </w:p>
        </w:tc>
      </w:tr>
      <w:tr>
        <w:tc>
          <w:tcPr>
            <w:tcW w:type="dxa" w:w="1728"/>
            <w:shd w:fill="F4FBF7"/>
          </w:tcPr>
          <w:p>
            <w:pPr>
              <w:jc w:val="center"/>
            </w:pPr>
            <w:r>
              <w:rPr>
                <w:rFonts w:ascii="Segoe UI" w:hAnsi="Segoe UI"/>
                <w:b/>
                <w:i w:val="0"/>
                <w:color w:val="1E293B"/>
                <w:sz w:val="19"/>
              </w:rPr>
              <w:t>1. Self Filing Flow (DIY Taxpayer)</w:t>
            </w:r>
          </w:p>
        </w:tc>
        <w:tc>
          <w:tcPr>
            <w:tcW w:type="dxa" w:w="2160"/>
            <w:shd w:fill="F4FBF7"/>
          </w:tcPr>
          <w:p>
            <w:pPr>
              <w:jc w:val="left"/>
            </w:pPr>
            <w:r>
              <w:rPr>
                <w:rFonts w:ascii="Segoe UI" w:hAnsi="Segoe UI"/>
                <w:b/>
                <w:i w:val="0"/>
                <w:color w:val="1E293B"/>
                <w:sz w:val="19"/>
              </w:rPr>
              <w:t>Step 3: Form 16 PDF Upload &amp; Automated Extraction</w:t>
            </w:r>
          </w:p>
        </w:tc>
        <w:tc>
          <w:tcPr>
            <w:tcW w:type="dxa" w:w="4464"/>
            <w:shd w:fill="F4FBF7"/>
          </w:tcPr>
          <w:p>
            <w:pPr>
              <w:jc w:val="left"/>
            </w:pPr>
            <w:r>
              <w:rPr>
                <w:rFonts w:ascii="Segoe UI" w:hAnsi="Segoe UI"/>
                <w:b w:val="0"/>
                <w:i w:val="0"/>
                <w:color w:val="252525"/>
                <w:sz w:val="19"/>
              </w:rPr>
              <w:t>The taxpayer uploads their employer-issued Form 16 PDF. The built-in intelligent OCR parser extracts salary breakdown, Section 10 exemptions (HRA, LTA), Standard Deduction, and employer TDS (Part A and Part B). The system cross-reconciles Form 16 values against 26AS records and alerts the user to any discrepancies.</w:t>
            </w:r>
          </w:p>
        </w:tc>
        <w:tc>
          <w:tcPr>
            <w:tcW w:type="dxa" w:w="2160"/>
            <w:shd w:fill="F4FBF7"/>
          </w:tcPr>
          <w:p>
            <w:pPr>
              <w:jc w:val="left"/>
            </w:pPr>
            <w:r>
              <w:rPr>
                <w:rFonts w:ascii="Segoe UI" w:hAnsi="Segoe UI"/>
                <w:b/>
                <w:i w:val="0"/>
                <w:color w:val="0A8E4B"/>
                <w:sz w:val="19"/>
              </w:rPr>
              <w:t>Parsed Salary Schedule &amp; Reconciled Tax Deduction Data</w:t>
            </w:r>
          </w:p>
        </w:tc>
      </w:tr>
      <w:tr>
        <w:tc>
          <w:tcPr>
            <w:tcW w:type="dxa" w:w="1728"/>
            <w:shd w:fill="F4FBF7"/>
          </w:tcPr>
          <w:p>
            <w:pPr>
              <w:jc w:val="center"/>
            </w:pPr>
            <w:r>
              <w:rPr>
                <w:rFonts w:ascii="Segoe UI" w:hAnsi="Segoe UI"/>
                <w:b/>
                <w:i w:val="0"/>
                <w:color w:val="1E293B"/>
                <w:sz w:val="19"/>
              </w:rPr>
              <w:t>1. Self Filing Flow (DIY Taxpayer)</w:t>
            </w:r>
          </w:p>
        </w:tc>
        <w:tc>
          <w:tcPr>
            <w:tcW w:type="dxa" w:w="2160"/>
            <w:shd w:fill="F4FBF7"/>
          </w:tcPr>
          <w:p>
            <w:pPr>
              <w:jc w:val="left"/>
            </w:pPr>
            <w:r>
              <w:rPr>
                <w:rFonts w:ascii="Segoe UI" w:hAnsi="Segoe UI"/>
                <w:b/>
                <w:i w:val="0"/>
                <w:color w:val="1E293B"/>
                <w:sz w:val="19"/>
              </w:rPr>
              <w:t>Step 4: Deductions Review &amp; Regime Comparison</w:t>
            </w:r>
          </w:p>
        </w:tc>
        <w:tc>
          <w:tcPr>
            <w:tcW w:type="dxa" w:w="4464"/>
            <w:shd w:fill="F4FBF7"/>
          </w:tcPr>
          <w:p>
            <w:pPr>
              <w:jc w:val="left"/>
            </w:pPr>
            <w:r>
              <w:rPr>
                <w:rFonts w:ascii="Segoe UI" w:hAnsi="Segoe UI"/>
                <w:b w:val="0"/>
                <w:i w:val="0"/>
                <w:color w:val="252525"/>
                <w:sz w:val="19"/>
              </w:rPr>
              <w:t>The taxpayer reviews and declares eligible Chapter VI-A deductions (80C, 80D, 80G, 80CCD NPS, 80TTA) and additional income sources (other interest, house property). The automated dual-tax computation engine computes liabilities under both the Old Tax Regime and New Tax Regime side-by-side, recommending the option with maximum tax savings.</w:t>
            </w:r>
          </w:p>
        </w:tc>
        <w:tc>
          <w:tcPr>
            <w:tcW w:type="dxa" w:w="2160"/>
            <w:shd w:fill="F4FBF7"/>
          </w:tcPr>
          <w:p>
            <w:pPr>
              <w:jc w:val="left"/>
            </w:pPr>
            <w:r>
              <w:rPr>
                <w:rFonts w:ascii="Segoe UI" w:hAnsi="Segoe UI"/>
                <w:b/>
                <w:i w:val="0"/>
                <w:color w:val="0A8E4B"/>
                <w:sz w:val="19"/>
              </w:rPr>
              <w:t>Automated Old vs. New Regime Comparison &amp; Net Tax Summary</w:t>
            </w:r>
          </w:p>
        </w:tc>
      </w:tr>
      <w:tr>
        <w:tc>
          <w:tcPr>
            <w:tcW w:type="dxa" w:w="1728"/>
            <w:shd w:fill="F4FBF7"/>
          </w:tcPr>
          <w:p>
            <w:pPr>
              <w:jc w:val="center"/>
            </w:pPr>
            <w:r>
              <w:rPr>
                <w:rFonts w:ascii="Segoe UI" w:hAnsi="Segoe UI"/>
                <w:b/>
                <w:i w:val="0"/>
                <w:color w:val="1E293B"/>
                <w:sz w:val="19"/>
              </w:rPr>
              <w:t>1. Self Filing Flow (DIY Taxpayer)</w:t>
            </w:r>
          </w:p>
        </w:tc>
        <w:tc>
          <w:tcPr>
            <w:tcW w:type="dxa" w:w="2160"/>
            <w:shd w:fill="F4FBF7"/>
          </w:tcPr>
          <w:p>
            <w:pPr>
              <w:jc w:val="left"/>
            </w:pPr>
            <w:r>
              <w:rPr>
                <w:rFonts w:ascii="Segoe UI" w:hAnsi="Segoe UI"/>
                <w:b/>
                <w:i w:val="0"/>
                <w:color w:val="1E293B"/>
                <w:sz w:val="19"/>
              </w:rPr>
              <w:t>Step 5: ITR JSON File Generation &amp; Schema Validation</w:t>
            </w:r>
          </w:p>
        </w:tc>
        <w:tc>
          <w:tcPr>
            <w:tcW w:type="dxa" w:w="4464"/>
            <w:shd w:fill="F4FBF7"/>
          </w:tcPr>
          <w:p>
            <w:pPr>
              <w:jc w:val="left"/>
            </w:pPr>
            <w:r>
              <w:rPr>
                <w:rFonts w:ascii="Segoe UI" w:hAnsi="Segoe UI"/>
                <w:b w:val="0"/>
                <w:i w:val="0"/>
                <w:color w:val="252525"/>
                <w:sz w:val="19"/>
              </w:rPr>
              <w:t>The system compiles all finalized financial information into the official Income Tax Department-compliant JSON format (ITR-1 Sahaj or ITR-2). It validates mandatory schedules, tax calculations, rebate under Section 87A, interest under 234A/B/C, and checksums to ensure zero rejection by the government portal.</w:t>
            </w:r>
          </w:p>
        </w:tc>
        <w:tc>
          <w:tcPr>
            <w:tcW w:type="dxa" w:w="2160"/>
            <w:shd w:fill="F4FBF7"/>
          </w:tcPr>
          <w:p>
            <w:pPr>
              <w:jc w:val="left"/>
            </w:pPr>
            <w:r>
              <w:rPr>
                <w:rFonts w:ascii="Segoe UI" w:hAnsi="Segoe UI"/>
                <w:b/>
                <w:i w:val="0"/>
                <w:color w:val="0A8E4B"/>
                <w:sz w:val="19"/>
              </w:rPr>
              <w:t>Validated Official ITD ITR JSON File Ready for E-Filing</w:t>
            </w:r>
          </w:p>
        </w:tc>
      </w:tr>
      <w:tr>
        <w:tc>
          <w:tcPr>
            <w:tcW w:type="dxa" w:w="1728"/>
            <w:shd w:fill="F4FBF7"/>
          </w:tcPr>
          <w:p>
            <w:pPr>
              <w:jc w:val="center"/>
            </w:pPr>
            <w:r>
              <w:rPr>
                <w:rFonts w:ascii="Segoe UI" w:hAnsi="Segoe UI"/>
                <w:b/>
                <w:i w:val="0"/>
                <w:color w:val="1E293B"/>
                <w:sz w:val="19"/>
              </w:rPr>
              <w:t>1. Self Filing Flow (DIY Taxpayer)</w:t>
            </w:r>
          </w:p>
        </w:tc>
        <w:tc>
          <w:tcPr>
            <w:tcW w:type="dxa" w:w="2160"/>
            <w:shd w:fill="F4FBF7"/>
          </w:tcPr>
          <w:p>
            <w:pPr>
              <w:jc w:val="left"/>
            </w:pPr>
            <w:r>
              <w:rPr>
                <w:rFonts w:ascii="Segoe UI" w:hAnsi="Segoe UI"/>
                <w:b/>
                <w:i w:val="0"/>
                <w:color w:val="1E293B"/>
                <w:sz w:val="19"/>
              </w:rPr>
              <w:t>Step 6: Government ITD Portal Submission &amp; E-Verification</w:t>
            </w:r>
          </w:p>
        </w:tc>
        <w:tc>
          <w:tcPr>
            <w:tcW w:type="dxa" w:w="4464"/>
            <w:shd w:fill="F4FBF7"/>
          </w:tcPr>
          <w:p>
            <w:pPr>
              <w:jc w:val="left"/>
            </w:pPr>
            <w:r>
              <w:rPr>
                <w:rFonts w:ascii="Segoe UI" w:hAnsi="Segoe UI"/>
                <w:b w:val="0"/>
                <w:i w:val="0"/>
                <w:color w:val="252525"/>
                <w:sz w:val="19"/>
              </w:rPr>
              <w:t>The validated ITR JSON file is transmitted directly to the Government Income Tax Department e-Filing portal via secure API. The user completes instant e-verification using Aadhaar OTP, Net Banking, or EVC. The official ITR-V acknowledgement receipt with filing date and acknowledgement number is generated and archived for download.</w:t>
            </w:r>
          </w:p>
        </w:tc>
        <w:tc>
          <w:tcPr>
            <w:tcW w:type="dxa" w:w="2160"/>
            <w:shd w:fill="F4FBF7"/>
          </w:tcPr>
          <w:p>
            <w:pPr>
              <w:jc w:val="left"/>
            </w:pPr>
            <w:r>
              <w:rPr>
                <w:rFonts w:ascii="Segoe UI" w:hAnsi="Segoe UI"/>
                <w:b/>
                <w:i w:val="0"/>
                <w:color w:val="0A8E4B"/>
                <w:sz w:val="19"/>
              </w:rPr>
              <w:t>Official ITD E-Filing Acknowledgement (ITR-V) &amp; Completed Filing</w:t>
            </w:r>
          </w:p>
        </w:tc>
      </w:tr>
    </w:tbl>
    <w:p/>
    <w:p>
      <w:pPr>
        <w:pStyle w:val="Heading2"/>
      </w:pPr>
      <w:r>
        <w:rPr>
          <w:rFonts w:ascii="Segoe UI" w:hAnsi="Segoe UI"/>
          <w:b/>
          <w:color w:val="F87826"/>
          <w:sz w:val="26"/>
        </w:rPr>
        <w:t>2. Track 2: Hire Agent Flow (CA-Assisted ITR Filing)</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728"/>
            <w:shd w:fill="F87826"/>
          </w:tcPr>
          <w:p>
            <w:pPr>
              <w:jc w:val="center"/>
            </w:pPr>
            <w:r>
              <w:rPr>
                <w:rFonts w:ascii="Segoe UI" w:hAnsi="Segoe UI"/>
                <w:b/>
                <w:color w:val="FFFFFF"/>
                <w:sz w:val="20"/>
              </w:rPr>
              <w:t>Flow / Module</w:t>
            </w:r>
          </w:p>
        </w:tc>
        <w:tc>
          <w:tcPr>
            <w:tcW w:type="dxa" w:w="2160"/>
            <w:shd w:fill="F87826"/>
          </w:tcPr>
          <w:p>
            <w:pPr>
              <w:jc w:val="center"/>
            </w:pPr>
            <w:r>
              <w:rPr>
                <w:rFonts w:ascii="Segoe UI" w:hAnsi="Segoe UI"/>
                <w:b/>
                <w:color w:val="FFFFFF"/>
                <w:sz w:val="20"/>
              </w:rPr>
              <w:t>Workflow Stage</w:t>
            </w:r>
          </w:p>
        </w:tc>
        <w:tc>
          <w:tcPr>
            <w:tcW w:type="dxa" w:w="4464"/>
            <w:shd w:fill="F87826"/>
          </w:tcPr>
          <w:p>
            <w:pPr>
              <w:jc w:val="center"/>
            </w:pPr>
            <w:r>
              <w:rPr>
                <w:rFonts w:ascii="Segoe UI" w:hAnsi="Segoe UI"/>
                <w:b/>
                <w:color w:val="FFFFFF"/>
                <w:sz w:val="20"/>
              </w:rPr>
              <w:t>Process Description</w:t>
            </w:r>
          </w:p>
        </w:tc>
        <w:tc>
          <w:tcPr>
            <w:tcW w:type="dxa" w:w="2160"/>
            <w:shd w:fill="F87826"/>
          </w:tcPr>
          <w:p>
            <w:pPr>
              <w:jc w:val="center"/>
            </w:pPr>
            <w:r>
              <w:rPr>
                <w:rFonts w:ascii="Segoe UI" w:hAnsi="Segoe UI"/>
                <w:b/>
                <w:color w:val="FFFFFF"/>
                <w:sz w:val="20"/>
              </w:rPr>
              <w:t>Key Deliverable</w:t>
            </w:r>
          </w:p>
        </w:tc>
      </w:tr>
      <w:tr>
        <w:tc>
          <w:tcPr>
            <w:tcW w:type="dxa" w:w="1728"/>
            <w:shd w:fill="FFF7ED"/>
          </w:tcPr>
          <w:p>
            <w:pPr>
              <w:jc w:val="center"/>
            </w:pPr>
            <w:r>
              <w:rPr>
                <w:rFonts w:ascii="Segoe UI" w:hAnsi="Segoe UI"/>
                <w:b/>
                <w:i w:val="0"/>
                <w:color w:val="1E293B"/>
                <w:sz w:val="19"/>
              </w:rPr>
              <w:t>2. Hire Agent Flow (CA-Assisted Filing)</w:t>
            </w:r>
          </w:p>
        </w:tc>
        <w:tc>
          <w:tcPr>
            <w:tcW w:type="dxa" w:w="2160"/>
            <w:shd w:fill="FFF7ED"/>
          </w:tcPr>
          <w:p>
            <w:pPr>
              <w:jc w:val="left"/>
            </w:pPr>
            <w:r>
              <w:rPr>
                <w:rFonts w:ascii="Segoe UI" w:hAnsi="Segoe UI"/>
                <w:b/>
                <w:i w:val="0"/>
                <w:color w:val="1E293B"/>
                <w:sz w:val="19"/>
              </w:rPr>
              <w:t>Step 1: Plan Selection &amp; CA Agent Engagement</w:t>
            </w:r>
          </w:p>
        </w:tc>
        <w:tc>
          <w:tcPr>
            <w:tcW w:type="dxa" w:w="4464"/>
            <w:shd w:fill="FFF7ED"/>
          </w:tcPr>
          <w:p>
            <w:pPr>
              <w:jc w:val="left"/>
            </w:pPr>
            <w:r>
              <w:rPr>
                <w:rFonts w:ascii="Segoe UI" w:hAnsi="Segoe UI"/>
                <w:b w:val="0"/>
                <w:i w:val="0"/>
                <w:color w:val="252525"/>
                <w:sz w:val="19"/>
              </w:rPr>
              <w:t>The customer chooses an expert-assisted filing plan based on their financial profile (Salaried, Professional / Business, Capital Gains &amp; Crypto, NRI / Foreign Income). The user books the service or requests an instant callback from a certified Chartered Accountant to kickstart their filing.</w:t>
            </w:r>
          </w:p>
        </w:tc>
        <w:tc>
          <w:tcPr>
            <w:tcW w:type="dxa" w:w="2160"/>
            <w:shd w:fill="FFF7ED"/>
          </w:tcPr>
          <w:p>
            <w:pPr>
              <w:jc w:val="left"/>
            </w:pPr>
            <w:r>
              <w:rPr>
                <w:rFonts w:ascii="Segoe UI" w:hAnsi="Segoe UI"/>
                <w:b/>
                <w:i w:val="0"/>
                <w:color w:val="F87826"/>
                <w:sz w:val="19"/>
              </w:rPr>
              <w:t>Assisted Filing Booking &amp; Dedicated Case Ticket Generated</w:t>
            </w:r>
          </w:p>
        </w:tc>
      </w:tr>
      <w:tr>
        <w:tc>
          <w:tcPr>
            <w:tcW w:type="dxa" w:w="1728"/>
            <w:shd w:fill="FFF7ED"/>
          </w:tcPr>
          <w:p>
            <w:pPr>
              <w:jc w:val="center"/>
            </w:pPr>
            <w:r>
              <w:rPr>
                <w:rFonts w:ascii="Segoe UI" w:hAnsi="Segoe UI"/>
                <w:b/>
                <w:i w:val="0"/>
                <w:color w:val="1E293B"/>
                <w:sz w:val="19"/>
              </w:rPr>
              <w:t>2. Hire Agent Flow (CA-Assisted Filing)</w:t>
            </w:r>
          </w:p>
        </w:tc>
        <w:tc>
          <w:tcPr>
            <w:tcW w:type="dxa" w:w="2160"/>
            <w:shd w:fill="FFF7ED"/>
          </w:tcPr>
          <w:p>
            <w:pPr>
              <w:jc w:val="left"/>
            </w:pPr>
            <w:r>
              <w:rPr>
                <w:rFonts w:ascii="Segoe UI" w:hAnsi="Segoe UI"/>
                <w:b/>
                <w:i w:val="0"/>
                <w:color w:val="1E293B"/>
                <w:sz w:val="19"/>
              </w:rPr>
              <w:t>Step 2: Document Vault Upload &amp; Financial Profiling</w:t>
            </w:r>
          </w:p>
        </w:tc>
        <w:tc>
          <w:tcPr>
            <w:tcW w:type="dxa" w:w="4464"/>
            <w:shd w:fill="FFF7ED"/>
          </w:tcPr>
          <w:p>
            <w:pPr>
              <w:jc w:val="left"/>
            </w:pPr>
            <w:r>
              <w:rPr>
                <w:rFonts w:ascii="Segoe UI" w:hAnsi="Segoe UI"/>
                <w:b w:val="0"/>
                <w:i w:val="0"/>
                <w:color w:val="252525"/>
                <w:sz w:val="19"/>
              </w:rPr>
              <w:t>The taxpayer uploads their complete financial records to a secure digital locker, including Form 16, 12-month bank statements, trading P&amp;L / capital gains statements, home loan certificates, and business ledgers. Documents are encrypted and categorized for expert assessment.</w:t>
            </w:r>
          </w:p>
        </w:tc>
        <w:tc>
          <w:tcPr>
            <w:tcW w:type="dxa" w:w="2160"/>
            <w:shd w:fill="FFF7ED"/>
          </w:tcPr>
          <w:p>
            <w:pPr>
              <w:jc w:val="left"/>
            </w:pPr>
            <w:r>
              <w:rPr>
                <w:rFonts w:ascii="Segoe UI" w:hAnsi="Segoe UI"/>
                <w:b/>
                <w:i w:val="0"/>
                <w:color w:val="F87826"/>
                <w:sz w:val="19"/>
              </w:rPr>
              <w:t>Structured Client Document Repository &amp; Financial Dossier</w:t>
            </w:r>
          </w:p>
        </w:tc>
      </w:tr>
      <w:tr>
        <w:tc>
          <w:tcPr>
            <w:tcW w:type="dxa" w:w="1728"/>
            <w:shd w:fill="FFF7ED"/>
          </w:tcPr>
          <w:p>
            <w:pPr>
              <w:jc w:val="center"/>
            </w:pPr>
            <w:r>
              <w:rPr>
                <w:rFonts w:ascii="Segoe UI" w:hAnsi="Segoe UI"/>
                <w:b/>
                <w:i w:val="0"/>
                <w:color w:val="1E293B"/>
                <w:sz w:val="19"/>
              </w:rPr>
              <w:t>2. Hire Agent Flow (CA-Assisted Filing)</w:t>
            </w:r>
          </w:p>
        </w:tc>
        <w:tc>
          <w:tcPr>
            <w:tcW w:type="dxa" w:w="2160"/>
            <w:shd w:fill="FFF7ED"/>
          </w:tcPr>
          <w:p>
            <w:pPr>
              <w:jc w:val="left"/>
            </w:pPr>
            <w:r>
              <w:rPr>
                <w:rFonts w:ascii="Segoe UI" w:hAnsi="Segoe UI"/>
                <w:b/>
                <w:i w:val="0"/>
                <w:color w:val="1E293B"/>
                <w:sz w:val="19"/>
              </w:rPr>
              <w:t>Step 3: CA Workspace Assignment &amp; Case Allocation</w:t>
            </w:r>
          </w:p>
        </w:tc>
        <w:tc>
          <w:tcPr>
            <w:tcW w:type="dxa" w:w="4464"/>
            <w:shd w:fill="FFF7ED"/>
          </w:tcPr>
          <w:p>
            <w:pPr>
              <w:jc w:val="left"/>
            </w:pPr>
            <w:r>
              <w:rPr>
                <w:rFonts w:ascii="Segoe UI" w:hAnsi="Segoe UI"/>
                <w:b w:val="0"/>
                <w:i w:val="0"/>
                <w:color w:val="252525"/>
                <w:sz w:val="19"/>
              </w:rPr>
              <w:t>The platform's assignment engine routes the case to an accredited Chartered Accountant based on specialization and availability. The assigned CA reviews the dossier in the CA Workspace, verifies file completeness, and updates the client's live status pipeline.</w:t>
            </w:r>
          </w:p>
        </w:tc>
        <w:tc>
          <w:tcPr>
            <w:tcW w:type="dxa" w:w="2160"/>
            <w:shd w:fill="FFF7ED"/>
          </w:tcPr>
          <w:p>
            <w:pPr>
              <w:jc w:val="left"/>
            </w:pPr>
            <w:r>
              <w:rPr>
                <w:rFonts w:ascii="Segoe UI" w:hAnsi="Segoe UI"/>
                <w:b/>
                <w:i w:val="0"/>
                <w:color w:val="F87826"/>
                <w:sz w:val="19"/>
              </w:rPr>
              <w:t>CA Case Assignment &amp; Active Case Pipeline in CA Workspace</w:t>
            </w:r>
          </w:p>
        </w:tc>
      </w:tr>
      <w:tr>
        <w:tc>
          <w:tcPr>
            <w:tcW w:type="dxa" w:w="1728"/>
            <w:shd w:fill="FFF7ED"/>
          </w:tcPr>
          <w:p>
            <w:pPr>
              <w:jc w:val="center"/>
            </w:pPr>
            <w:r>
              <w:rPr>
                <w:rFonts w:ascii="Segoe UI" w:hAnsi="Segoe UI"/>
                <w:b/>
                <w:i w:val="0"/>
                <w:color w:val="1E293B"/>
                <w:sz w:val="19"/>
              </w:rPr>
              <w:t>2. Hire Agent Flow (CA-Assisted Filing)</w:t>
            </w:r>
          </w:p>
        </w:tc>
        <w:tc>
          <w:tcPr>
            <w:tcW w:type="dxa" w:w="2160"/>
            <w:shd w:fill="FFF7ED"/>
          </w:tcPr>
          <w:p>
            <w:pPr>
              <w:jc w:val="left"/>
            </w:pPr>
            <w:r>
              <w:rPr>
                <w:rFonts w:ascii="Segoe UI" w:hAnsi="Segoe UI"/>
                <w:b/>
                <w:i w:val="0"/>
                <w:color w:val="1E293B"/>
                <w:sz w:val="19"/>
              </w:rPr>
              <w:t>Step 4: Expert Audit, Tax Optimization &amp; Client Consultation</w:t>
            </w:r>
          </w:p>
        </w:tc>
        <w:tc>
          <w:tcPr>
            <w:tcW w:type="dxa" w:w="4464"/>
            <w:shd w:fill="FFF7ED"/>
          </w:tcPr>
          <w:p>
            <w:pPr>
              <w:jc w:val="left"/>
            </w:pPr>
            <w:r>
              <w:rPr>
                <w:rFonts w:ascii="Segoe UI" w:hAnsi="Segoe UI"/>
                <w:b w:val="0"/>
                <w:i w:val="0"/>
                <w:color w:val="252525"/>
                <w:sz w:val="19"/>
              </w:rPr>
              <w:t>The CA audits the documents, cross-verifies AIS/26AS, computes capital gains with indexation, determines allowable business expenses under Section 44AD/ADA, and optimizes deductions. The CA communicates directly with the client via in-portal chat or phone call to resolve questions and gather missing data.</w:t>
            </w:r>
          </w:p>
        </w:tc>
        <w:tc>
          <w:tcPr>
            <w:tcW w:type="dxa" w:w="2160"/>
            <w:shd w:fill="FFF7ED"/>
          </w:tcPr>
          <w:p>
            <w:pPr>
              <w:jc w:val="left"/>
            </w:pPr>
            <w:r>
              <w:rPr>
                <w:rFonts w:ascii="Segoe UI" w:hAnsi="Segoe UI"/>
                <w:b/>
                <w:i w:val="0"/>
                <w:color w:val="F87826"/>
                <w:sz w:val="19"/>
              </w:rPr>
              <w:t>Expert Tax Computation Sheet &amp; Document Audit Report</w:t>
            </w:r>
          </w:p>
        </w:tc>
      </w:tr>
      <w:tr>
        <w:tc>
          <w:tcPr>
            <w:tcW w:type="dxa" w:w="1728"/>
            <w:shd w:fill="FFF7ED"/>
          </w:tcPr>
          <w:p>
            <w:pPr>
              <w:jc w:val="center"/>
            </w:pPr>
            <w:r>
              <w:rPr>
                <w:rFonts w:ascii="Segoe UI" w:hAnsi="Segoe UI"/>
                <w:b/>
                <w:i w:val="0"/>
                <w:color w:val="1E293B"/>
                <w:sz w:val="19"/>
              </w:rPr>
              <w:t>2. Hire Agent Flow (CA-Assisted Filing)</w:t>
            </w:r>
          </w:p>
        </w:tc>
        <w:tc>
          <w:tcPr>
            <w:tcW w:type="dxa" w:w="2160"/>
            <w:shd w:fill="FFF7ED"/>
          </w:tcPr>
          <w:p>
            <w:pPr>
              <w:jc w:val="left"/>
            </w:pPr>
            <w:r>
              <w:rPr>
                <w:rFonts w:ascii="Segoe UI" w:hAnsi="Segoe UI"/>
                <w:b/>
                <w:i w:val="0"/>
                <w:color w:val="1E293B"/>
                <w:sz w:val="19"/>
              </w:rPr>
              <w:t>Step 5: Draft Computation Review &amp; Client Sign-Off</w:t>
            </w:r>
          </w:p>
        </w:tc>
        <w:tc>
          <w:tcPr>
            <w:tcW w:type="dxa" w:w="4464"/>
            <w:shd w:fill="FFF7ED"/>
          </w:tcPr>
          <w:p>
            <w:pPr>
              <w:jc w:val="left"/>
            </w:pPr>
            <w:r>
              <w:rPr>
                <w:rFonts w:ascii="Segoe UI" w:hAnsi="Segoe UI"/>
                <w:b w:val="0"/>
                <w:i w:val="0"/>
                <w:color w:val="252525"/>
                <w:sz w:val="19"/>
              </w:rPr>
              <w:t>The CA publishes the draft computation showing total gross income, applied deductions, net taxable income, and calculated tax refund or balance payable. The customer reviews the draft, approves the computation via digital sign-off, and settles the professional service fee.</w:t>
            </w:r>
          </w:p>
        </w:tc>
        <w:tc>
          <w:tcPr>
            <w:tcW w:type="dxa" w:w="2160"/>
            <w:shd w:fill="FFF7ED"/>
          </w:tcPr>
          <w:p>
            <w:pPr>
              <w:jc w:val="left"/>
            </w:pPr>
            <w:r>
              <w:rPr>
                <w:rFonts w:ascii="Segoe UI" w:hAnsi="Segoe UI"/>
                <w:b/>
                <w:i w:val="0"/>
                <w:color w:val="F87826"/>
                <w:sz w:val="19"/>
              </w:rPr>
              <w:t>Client Digital Approval &amp; Service Fee Payment Settlement</w:t>
            </w:r>
          </w:p>
        </w:tc>
      </w:tr>
      <w:tr>
        <w:tc>
          <w:tcPr>
            <w:tcW w:type="dxa" w:w="1728"/>
            <w:shd w:fill="FFF7ED"/>
          </w:tcPr>
          <w:p>
            <w:pPr>
              <w:jc w:val="center"/>
            </w:pPr>
            <w:r>
              <w:rPr>
                <w:rFonts w:ascii="Segoe UI" w:hAnsi="Segoe UI"/>
                <w:b/>
                <w:i w:val="0"/>
                <w:color w:val="1E293B"/>
                <w:sz w:val="19"/>
              </w:rPr>
              <w:t>2. Hire Agent Flow (CA-Assisted Filing)</w:t>
            </w:r>
          </w:p>
        </w:tc>
        <w:tc>
          <w:tcPr>
            <w:tcW w:type="dxa" w:w="2160"/>
            <w:shd w:fill="FFF7ED"/>
          </w:tcPr>
          <w:p>
            <w:pPr>
              <w:jc w:val="left"/>
            </w:pPr>
            <w:r>
              <w:rPr>
                <w:rFonts w:ascii="Segoe UI" w:hAnsi="Segoe UI"/>
                <w:b/>
                <w:i w:val="0"/>
                <w:color w:val="1E293B"/>
                <w:sz w:val="19"/>
              </w:rPr>
              <w:t>Step 6: Official CA Filing, ITR-V Delivery &amp; Support</w:t>
            </w:r>
          </w:p>
        </w:tc>
        <w:tc>
          <w:tcPr>
            <w:tcW w:type="dxa" w:w="4464"/>
            <w:shd w:fill="FFF7ED"/>
          </w:tcPr>
          <w:p>
            <w:pPr>
              <w:jc w:val="left"/>
            </w:pPr>
            <w:r>
              <w:rPr>
                <w:rFonts w:ascii="Segoe UI" w:hAnsi="Segoe UI"/>
                <w:b w:val="0"/>
                <w:i w:val="0"/>
                <w:color w:val="252525"/>
                <w:sz w:val="19"/>
              </w:rPr>
              <w:t>The CA packages the finalized return into the official ITD JSON format, performs statutory checks, and files the return on the Government portal under authorized representative credentials. The client receives the official ITR-V acknowledgement receipt, filing summary, and year-round notice protection.</w:t>
            </w:r>
          </w:p>
        </w:tc>
        <w:tc>
          <w:tcPr>
            <w:tcW w:type="dxa" w:w="2160"/>
            <w:shd w:fill="FFF7ED"/>
          </w:tcPr>
          <w:p>
            <w:pPr>
              <w:jc w:val="left"/>
            </w:pPr>
            <w:r>
              <w:rPr>
                <w:rFonts w:ascii="Segoe UI" w:hAnsi="Segoe UI"/>
                <w:b/>
                <w:i w:val="0"/>
                <w:color w:val="F87826"/>
                <w:sz w:val="19"/>
              </w:rPr>
              <w:t>Filed Return with ITD Acknowledgement (ITR-V) &amp; Case Closed</w:t>
            </w:r>
          </w:p>
        </w:tc>
      </w:tr>
    </w:tbl>
    <w:p/>
    <w:p>
      <w:pPr>
        <w:pStyle w:val="Heading2"/>
      </w:pPr>
      <w:r>
        <w:rPr>
          <w:rFonts w:ascii="Segoe UI" w:hAnsi="Segoe UI"/>
          <w:b/>
          <w:color w:val="1E293B"/>
          <w:sz w:val="26"/>
        </w:rPr>
        <w:t>3. Track 3: Government ITD Notice Defense &amp; Resolution</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728"/>
            <w:shd w:fill="1E293B"/>
          </w:tcPr>
          <w:p>
            <w:pPr>
              <w:jc w:val="center"/>
            </w:pPr>
            <w:r>
              <w:rPr>
                <w:rFonts w:ascii="Segoe UI" w:hAnsi="Segoe UI"/>
                <w:b/>
                <w:color w:val="FFFFFF"/>
                <w:sz w:val="20"/>
              </w:rPr>
              <w:t>Flow / Module</w:t>
            </w:r>
          </w:p>
        </w:tc>
        <w:tc>
          <w:tcPr>
            <w:tcW w:type="dxa" w:w="2160"/>
            <w:shd w:fill="1E293B"/>
          </w:tcPr>
          <w:p>
            <w:pPr>
              <w:jc w:val="center"/>
            </w:pPr>
            <w:r>
              <w:rPr>
                <w:rFonts w:ascii="Segoe UI" w:hAnsi="Segoe UI"/>
                <w:b/>
                <w:color w:val="FFFFFF"/>
                <w:sz w:val="20"/>
              </w:rPr>
              <w:t>Workflow Stage</w:t>
            </w:r>
          </w:p>
        </w:tc>
        <w:tc>
          <w:tcPr>
            <w:tcW w:type="dxa" w:w="4464"/>
            <w:shd w:fill="1E293B"/>
          </w:tcPr>
          <w:p>
            <w:pPr>
              <w:jc w:val="center"/>
            </w:pPr>
            <w:r>
              <w:rPr>
                <w:rFonts w:ascii="Segoe UI" w:hAnsi="Segoe UI"/>
                <w:b/>
                <w:color w:val="FFFFFF"/>
                <w:sz w:val="20"/>
              </w:rPr>
              <w:t>Process Description</w:t>
            </w:r>
          </w:p>
        </w:tc>
        <w:tc>
          <w:tcPr>
            <w:tcW w:type="dxa" w:w="2160"/>
            <w:shd w:fill="1E293B"/>
          </w:tcPr>
          <w:p>
            <w:pPr>
              <w:jc w:val="center"/>
            </w:pPr>
            <w:r>
              <w:rPr>
                <w:rFonts w:ascii="Segoe UI" w:hAnsi="Segoe UI"/>
                <w:b/>
                <w:color w:val="FFFFFF"/>
                <w:sz w:val="20"/>
              </w:rPr>
              <w:t>Key Deliverable</w:t>
            </w:r>
          </w:p>
        </w:tc>
      </w:tr>
      <w:tr>
        <w:tc>
          <w:tcPr>
            <w:tcW w:type="dxa" w:w="1728"/>
            <w:shd w:fill="F8FAFC"/>
          </w:tcPr>
          <w:p>
            <w:pPr>
              <w:jc w:val="center"/>
            </w:pPr>
            <w:r>
              <w:rPr>
                <w:rFonts w:ascii="Segoe UI" w:hAnsi="Segoe UI"/>
                <w:b/>
                <w:i w:val="0"/>
                <w:color w:val="1E293B"/>
                <w:sz w:val="19"/>
              </w:rPr>
              <w:t>3. ITD Notice Defense &amp; Resolution</w:t>
            </w:r>
          </w:p>
        </w:tc>
        <w:tc>
          <w:tcPr>
            <w:tcW w:type="dxa" w:w="2160"/>
            <w:shd w:fill="F8FAFC"/>
          </w:tcPr>
          <w:p>
            <w:pPr>
              <w:jc w:val="left"/>
            </w:pPr>
            <w:r>
              <w:rPr>
                <w:rFonts w:ascii="Segoe UI" w:hAnsi="Segoe UI"/>
                <w:b/>
                <w:i w:val="0"/>
                <w:color w:val="1E293B"/>
                <w:sz w:val="19"/>
              </w:rPr>
              <w:t>Step 1: Notice Upload &amp; Classification</w:t>
            </w:r>
          </w:p>
        </w:tc>
        <w:tc>
          <w:tcPr>
            <w:tcW w:type="dxa" w:w="4464"/>
            <w:shd w:fill="F8FAFC"/>
          </w:tcPr>
          <w:p>
            <w:pPr>
              <w:jc w:val="left"/>
            </w:pPr>
            <w:r>
              <w:rPr>
                <w:rFonts w:ascii="Segoe UI" w:hAnsi="Segoe UI"/>
                <w:b w:val="0"/>
                <w:i w:val="0"/>
                <w:color w:val="252525"/>
                <w:sz w:val="19"/>
              </w:rPr>
              <w:t>The taxpayer uploads an Income Tax notice received from the ITD (e.g., Section 143(1) intimation, 139(9) defective return, 142(1) inquiry, or 148 reassessment) or syncs it via PAN. The system extracts the Document Identification Number (DIN) and tracks the statutory response deadline.</w:t>
            </w:r>
          </w:p>
        </w:tc>
        <w:tc>
          <w:tcPr>
            <w:tcW w:type="dxa" w:w="2160"/>
            <w:shd w:fill="F8FAFC"/>
          </w:tcPr>
          <w:p>
            <w:pPr>
              <w:jc w:val="left"/>
            </w:pPr>
            <w:r>
              <w:rPr>
                <w:rFonts w:ascii="Segoe UI" w:hAnsi="Segoe UI"/>
                <w:b/>
                <w:i w:val="0"/>
                <w:color w:val="1E293B"/>
                <w:sz w:val="19"/>
              </w:rPr>
              <w:t>Digitized Notice Record with DIN &amp; Response Due Date</w:t>
            </w:r>
          </w:p>
        </w:tc>
      </w:tr>
      <w:tr>
        <w:tc>
          <w:tcPr>
            <w:tcW w:type="dxa" w:w="1728"/>
            <w:shd w:fill="F8FAFC"/>
          </w:tcPr>
          <w:p>
            <w:pPr>
              <w:jc w:val="center"/>
            </w:pPr>
            <w:r>
              <w:rPr>
                <w:rFonts w:ascii="Segoe UI" w:hAnsi="Segoe UI"/>
                <w:b/>
                <w:i w:val="0"/>
                <w:color w:val="1E293B"/>
                <w:sz w:val="19"/>
              </w:rPr>
              <w:t>3. ITD Notice Defense &amp; Resolution</w:t>
            </w:r>
          </w:p>
        </w:tc>
        <w:tc>
          <w:tcPr>
            <w:tcW w:type="dxa" w:w="2160"/>
            <w:shd w:fill="F8FAFC"/>
          </w:tcPr>
          <w:p>
            <w:pPr>
              <w:jc w:val="left"/>
            </w:pPr>
            <w:r>
              <w:rPr>
                <w:rFonts w:ascii="Segoe UI" w:hAnsi="Segoe UI"/>
                <w:b/>
                <w:i w:val="0"/>
                <w:color w:val="1E293B"/>
                <w:sz w:val="19"/>
              </w:rPr>
              <w:t>Step 2: CA Discrepancy Audit &amp; Defense Drafting</w:t>
            </w:r>
          </w:p>
        </w:tc>
        <w:tc>
          <w:tcPr>
            <w:tcW w:type="dxa" w:w="4464"/>
            <w:shd w:fill="F8FAFC"/>
          </w:tcPr>
          <w:p>
            <w:pPr>
              <w:jc w:val="left"/>
            </w:pPr>
            <w:r>
              <w:rPr>
                <w:rFonts w:ascii="Segoe UI" w:hAnsi="Segoe UI"/>
                <w:b w:val="0"/>
                <w:i w:val="0"/>
                <w:color w:val="252525"/>
                <w:sz w:val="19"/>
              </w:rPr>
              <w:t>A dedicated tax expert analyzes the tax demand or discrepancy flagged by the ITD, reconciles original filing data with the department's assessment, collates supporting evidence, and drafts a comprehensive, legally grounded point-by-point reply.</w:t>
            </w:r>
          </w:p>
        </w:tc>
        <w:tc>
          <w:tcPr>
            <w:tcW w:type="dxa" w:w="2160"/>
            <w:shd w:fill="F8FAFC"/>
          </w:tcPr>
          <w:p>
            <w:pPr>
              <w:jc w:val="left"/>
            </w:pPr>
            <w:r>
              <w:rPr>
                <w:rFonts w:ascii="Segoe UI" w:hAnsi="Segoe UI"/>
                <w:b/>
                <w:i w:val="0"/>
                <w:color w:val="1E293B"/>
                <w:sz w:val="19"/>
              </w:rPr>
              <w:t>Formal Legal Defense Reply &amp; Evidentiary Annexure Pack</w:t>
            </w:r>
          </w:p>
        </w:tc>
      </w:tr>
      <w:tr>
        <w:tc>
          <w:tcPr>
            <w:tcW w:type="dxa" w:w="1728"/>
            <w:shd w:fill="F8FAFC"/>
          </w:tcPr>
          <w:p>
            <w:pPr>
              <w:jc w:val="center"/>
            </w:pPr>
            <w:r>
              <w:rPr>
                <w:rFonts w:ascii="Segoe UI" w:hAnsi="Segoe UI"/>
                <w:b/>
                <w:i w:val="0"/>
                <w:color w:val="1E293B"/>
                <w:sz w:val="19"/>
              </w:rPr>
              <w:t>3. ITD Notice Defense &amp; Resolution</w:t>
            </w:r>
          </w:p>
        </w:tc>
        <w:tc>
          <w:tcPr>
            <w:tcW w:type="dxa" w:w="2160"/>
            <w:shd w:fill="F8FAFC"/>
          </w:tcPr>
          <w:p>
            <w:pPr>
              <w:jc w:val="left"/>
            </w:pPr>
            <w:r>
              <w:rPr>
                <w:rFonts w:ascii="Segoe UI" w:hAnsi="Segoe UI"/>
                <w:b/>
                <w:i w:val="0"/>
                <w:color w:val="1E293B"/>
                <w:sz w:val="19"/>
              </w:rPr>
              <w:t>Step 3: Client Approval &amp; E-Proceedings Submission</w:t>
            </w:r>
          </w:p>
        </w:tc>
        <w:tc>
          <w:tcPr>
            <w:tcW w:type="dxa" w:w="4464"/>
            <w:shd w:fill="F8FAFC"/>
          </w:tcPr>
          <w:p>
            <w:pPr>
              <w:jc w:val="left"/>
            </w:pPr>
            <w:r>
              <w:rPr>
                <w:rFonts w:ascii="Segoe UI" w:hAnsi="Segoe UI"/>
                <w:b w:val="0"/>
                <w:i w:val="0"/>
                <w:color w:val="252525"/>
                <w:sz w:val="19"/>
              </w:rPr>
              <w:t>The client reviews the prepared defense and approves the submission. The response and all supporting annexures are uploaded directly to the Government e-Proceedings portal before the statutory deadline, securing an official acknowledgement and case closure tracking.</w:t>
            </w:r>
          </w:p>
        </w:tc>
        <w:tc>
          <w:tcPr>
            <w:tcW w:type="dxa" w:w="2160"/>
            <w:shd w:fill="F8FAFC"/>
          </w:tcPr>
          <w:p>
            <w:pPr>
              <w:jc w:val="left"/>
            </w:pPr>
            <w:r>
              <w:rPr>
                <w:rFonts w:ascii="Segoe UI" w:hAnsi="Segoe UI"/>
                <w:b/>
                <w:i w:val="0"/>
                <w:color w:val="1E293B"/>
                <w:sz w:val="19"/>
              </w:rPr>
              <w:t>Official ITD E-Proceedings Acknowledgement &amp; Notice Resolved</w:t>
            </w:r>
          </w:p>
        </w:tc>
      </w:tr>
    </w:tbl>
    <w:p/>
    <w:p>
      <w:pPr>
        <w:pStyle w:val="Heading2"/>
      </w:pPr>
      <w:r>
        <w:rPr>
          <w:rFonts w:ascii="Segoe UI" w:hAnsi="Segoe UI"/>
          <w:b/>
          <w:color w:val="0A8E4B"/>
          <w:sz w:val="26"/>
        </w:rPr>
        <w:t>4. Track 4: Admin Payment Management &amp; Coupon System</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728"/>
            <w:shd w:fill="0A8E4B"/>
          </w:tcPr>
          <w:p>
            <w:pPr>
              <w:jc w:val="center"/>
            </w:pPr>
            <w:r>
              <w:rPr>
                <w:rFonts w:ascii="Segoe UI" w:hAnsi="Segoe UI"/>
                <w:b/>
                <w:color w:val="FFFFFF"/>
                <w:sz w:val="20"/>
              </w:rPr>
              <w:t>Flow / Module</w:t>
            </w:r>
          </w:p>
        </w:tc>
        <w:tc>
          <w:tcPr>
            <w:tcW w:type="dxa" w:w="2160"/>
            <w:shd w:fill="0A8E4B"/>
          </w:tcPr>
          <w:p>
            <w:pPr>
              <w:jc w:val="center"/>
            </w:pPr>
            <w:r>
              <w:rPr>
                <w:rFonts w:ascii="Segoe UI" w:hAnsi="Segoe UI"/>
                <w:b/>
                <w:color w:val="FFFFFF"/>
                <w:sz w:val="20"/>
              </w:rPr>
              <w:t>Workflow Stage</w:t>
            </w:r>
          </w:p>
        </w:tc>
        <w:tc>
          <w:tcPr>
            <w:tcW w:type="dxa" w:w="4464"/>
            <w:shd w:fill="0A8E4B"/>
          </w:tcPr>
          <w:p>
            <w:pPr>
              <w:jc w:val="center"/>
            </w:pPr>
            <w:r>
              <w:rPr>
                <w:rFonts w:ascii="Segoe UI" w:hAnsi="Segoe UI"/>
                <w:b/>
                <w:color w:val="FFFFFF"/>
                <w:sz w:val="20"/>
              </w:rPr>
              <w:t>Process Description</w:t>
            </w:r>
          </w:p>
        </w:tc>
        <w:tc>
          <w:tcPr>
            <w:tcW w:type="dxa" w:w="2160"/>
            <w:shd w:fill="0A8E4B"/>
          </w:tcPr>
          <w:p>
            <w:pPr>
              <w:jc w:val="center"/>
            </w:pPr>
            <w:r>
              <w:rPr>
                <w:rFonts w:ascii="Segoe UI" w:hAnsi="Segoe UI"/>
                <w:b/>
                <w:color w:val="FFFFFF"/>
                <w:sz w:val="20"/>
              </w:rPr>
              <w:t>Key Deliverable</w:t>
            </w:r>
          </w:p>
        </w:tc>
      </w:tr>
      <w:tr>
        <w:tc>
          <w:tcPr>
            <w:tcW w:type="dxa" w:w="1728"/>
            <w:shd w:fill="F0FDF4"/>
          </w:tcPr>
          <w:p>
            <w:pPr>
              <w:jc w:val="center"/>
            </w:pPr>
            <w:r>
              <w:rPr>
                <w:rFonts w:ascii="Segoe UI" w:hAnsi="Segoe UI"/>
                <w:b/>
                <w:i w:val="0"/>
                <w:color w:val="1E293B"/>
                <w:sz w:val="19"/>
              </w:rPr>
              <w:t>4. Admin Payment &amp; Revenue Management</w:t>
            </w:r>
          </w:p>
        </w:tc>
        <w:tc>
          <w:tcPr>
            <w:tcW w:type="dxa" w:w="2160"/>
            <w:shd w:fill="F0FDF4"/>
          </w:tcPr>
          <w:p>
            <w:pPr>
              <w:jc w:val="left"/>
            </w:pPr>
            <w:r>
              <w:rPr>
                <w:rFonts w:ascii="Segoe UI" w:hAnsi="Segoe UI"/>
                <w:b/>
                <w:i w:val="0"/>
                <w:color w:val="1E293B"/>
                <w:sz w:val="19"/>
              </w:rPr>
              <w:t>Step 1: Revenue Tracking &amp; Collections Telemetry</w:t>
            </w:r>
          </w:p>
        </w:tc>
        <w:tc>
          <w:tcPr>
            <w:tcW w:type="dxa" w:w="4464"/>
            <w:shd w:fill="F0FDF4"/>
          </w:tcPr>
          <w:p>
            <w:pPr>
              <w:jc w:val="left"/>
            </w:pPr>
            <w:r>
              <w:rPr>
                <w:rFonts w:ascii="Segoe UI" w:hAnsi="Segoe UI"/>
                <w:b w:val="0"/>
                <w:i w:val="0"/>
                <w:color w:val="252525"/>
                <w:sz w:val="19"/>
              </w:rPr>
              <w:t>Administrator accesses the dedicated Payment tag in the sidebar to review real-time collections. The dashboard presents total revenue collections, today's live collections, pending transactions awaiting gateway clearing, and failed payments with instant retry options.</w:t>
            </w:r>
          </w:p>
        </w:tc>
        <w:tc>
          <w:tcPr>
            <w:tcW w:type="dxa" w:w="2160"/>
            <w:shd w:fill="F0FDF4"/>
          </w:tcPr>
          <w:p>
            <w:pPr>
              <w:jc w:val="left"/>
            </w:pPr>
            <w:r>
              <w:rPr>
                <w:rFonts w:ascii="Segoe UI" w:hAnsi="Segoe UI"/>
                <w:b/>
                <w:i w:val="0"/>
                <w:color w:val="0A8E4B"/>
                <w:sz w:val="19"/>
              </w:rPr>
              <w:t>Live Revenue Telemetry, KPI Summary Cards &amp; Filterable Ledger</w:t>
            </w:r>
          </w:p>
        </w:tc>
      </w:tr>
      <w:tr>
        <w:tc>
          <w:tcPr>
            <w:tcW w:type="dxa" w:w="1728"/>
            <w:shd w:fill="F0FDF4"/>
          </w:tcPr>
          <w:p>
            <w:pPr>
              <w:jc w:val="center"/>
            </w:pPr>
            <w:r>
              <w:rPr>
                <w:rFonts w:ascii="Segoe UI" w:hAnsi="Segoe UI"/>
                <w:b/>
                <w:i w:val="0"/>
                <w:color w:val="1E293B"/>
                <w:sz w:val="19"/>
              </w:rPr>
              <w:t>4. Admin Payment &amp; Revenue Management</w:t>
            </w:r>
          </w:p>
        </w:tc>
        <w:tc>
          <w:tcPr>
            <w:tcW w:type="dxa" w:w="2160"/>
            <w:shd w:fill="F0FDF4"/>
          </w:tcPr>
          <w:p>
            <w:pPr>
              <w:jc w:val="left"/>
            </w:pPr>
            <w:r>
              <w:rPr>
                <w:rFonts w:ascii="Segoe UI" w:hAnsi="Segoe UI"/>
                <w:b/>
                <w:i w:val="0"/>
                <w:color w:val="1E293B"/>
                <w:sz w:val="19"/>
              </w:rPr>
              <w:t>Step 2: Client Refund &amp; Dispute Processing</w:t>
            </w:r>
          </w:p>
        </w:tc>
        <w:tc>
          <w:tcPr>
            <w:tcW w:type="dxa" w:w="4464"/>
            <w:shd w:fill="F0FDF4"/>
          </w:tcPr>
          <w:p>
            <w:pPr>
              <w:jc w:val="left"/>
            </w:pPr>
            <w:r>
              <w:rPr>
                <w:rFonts w:ascii="Segoe UI" w:hAnsi="Segoe UI"/>
                <w:b w:val="0"/>
                <w:i w:val="0"/>
                <w:color w:val="252525"/>
                <w:sz w:val="19"/>
              </w:rPr>
              <w:t>Admin reviews customer refund requests and duplicate deduction inquiries. With one click, the admin inspects client order details, enters statutory refund remarks, and triggers automated gateway reversals directly to the client's original payment method with ARN reference tracking.</w:t>
            </w:r>
          </w:p>
        </w:tc>
        <w:tc>
          <w:tcPr>
            <w:tcW w:type="dxa" w:w="2160"/>
            <w:shd w:fill="F0FDF4"/>
          </w:tcPr>
          <w:p>
            <w:pPr>
              <w:jc w:val="left"/>
            </w:pPr>
            <w:r>
              <w:rPr>
                <w:rFonts w:ascii="Segoe UI" w:hAnsi="Segoe UI"/>
                <w:b/>
                <w:i w:val="0"/>
                <w:color w:val="0A8E4B"/>
                <w:sz w:val="19"/>
              </w:rPr>
              <w:t>Settled Gateway Refund Records, Tax Invoices &amp; Payout Receipts</w:t>
            </w:r>
          </w:p>
        </w:tc>
      </w:tr>
      <w:tr>
        <w:tc>
          <w:tcPr>
            <w:tcW w:type="dxa" w:w="1728"/>
            <w:shd w:fill="F0FDF4"/>
          </w:tcPr>
          <w:p>
            <w:pPr>
              <w:jc w:val="center"/>
            </w:pPr>
            <w:r>
              <w:rPr>
                <w:rFonts w:ascii="Segoe UI" w:hAnsi="Segoe UI"/>
                <w:b/>
                <w:i w:val="0"/>
                <w:color w:val="1E293B"/>
                <w:sz w:val="19"/>
              </w:rPr>
              <w:t>4. Admin Payment &amp; Revenue Management</w:t>
            </w:r>
          </w:p>
        </w:tc>
        <w:tc>
          <w:tcPr>
            <w:tcW w:type="dxa" w:w="2160"/>
            <w:shd w:fill="F0FDF4"/>
          </w:tcPr>
          <w:p>
            <w:pPr>
              <w:jc w:val="left"/>
            </w:pPr>
            <w:r>
              <w:rPr>
                <w:rFonts w:ascii="Segoe UI" w:hAnsi="Segoe UI"/>
                <w:b/>
                <w:i w:val="0"/>
                <w:color w:val="1E293B"/>
                <w:sz w:val="19"/>
              </w:rPr>
              <w:t>Step 3: Promotional Coupon &amp; Discount Engine</w:t>
            </w:r>
          </w:p>
        </w:tc>
        <w:tc>
          <w:tcPr>
            <w:tcW w:type="dxa" w:w="4464"/>
            <w:shd w:fill="F0FDF4"/>
          </w:tcPr>
          <w:p>
            <w:pPr>
              <w:jc w:val="left"/>
            </w:pPr>
            <w:r>
              <w:rPr>
                <w:rFonts w:ascii="Segoe UI" w:hAnsi="Segoe UI"/>
                <w:b w:val="0"/>
                <w:i w:val="0"/>
                <w:color w:val="252525"/>
                <w:sz w:val="19"/>
              </w:rPr>
              <w:t>Admin creates and manages seasonal promotional discount codes (percentage % or flat ₹ amount). Admin specifies service eligibility (DIY Self-Filing, CA Plans, Notice Defense), minimum cart values, usage caps, and expiry dates, with instant active/disabled toggle controls.</w:t>
            </w:r>
          </w:p>
        </w:tc>
        <w:tc>
          <w:tcPr>
            <w:tcW w:type="dxa" w:w="2160"/>
            <w:shd w:fill="F0FDF4"/>
          </w:tcPr>
          <w:p>
            <w:pPr>
              <w:jc w:val="left"/>
            </w:pPr>
            <w:r>
              <w:rPr>
                <w:rFonts w:ascii="Segoe UI" w:hAnsi="Segoe UI"/>
                <w:b/>
                <w:i w:val="0"/>
                <w:color w:val="0A8E4B"/>
                <w:sz w:val="19"/>
              </w:rPr>
              <w:t>Configured Promotional Coupons, Real-Time Redemptions &amp; Savings Audit</w:t>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