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Terraform, Microsoft Azure, Azure Kubernetes Service (AKS), AWS, Cloud Engineering, Virtual Networks (VNets), Private Endpoints, Key Vault, Azure Storage, Azure SQL, Managed Identity, Infrastructure as Code (IaC), Azure Resource Manager (ARM), Cost Optimization</w:t>
      </w:r>
      <w:r>
        <w:rPr>
          <w:rFonts w:ascii="Calibri" w:hAnsi="Calibri"/>
          <w:sz w:val="20"/>
        </w:rPr>
      </w:r>
    </w:p>
    <w:p>
      <w:pPr>
        <w:spacing w:after="0" w:line="252" w:lineRule="auto"/>
      </w:pPr>
      <w:r>
        <w:rPr>
          <w:rFonts w:ascii="Calibri" w:hAnsi="Calibri"/>
          <w:b/>
          <w:sz w:val="20"/>
        </w:rPr>
        <w:t>DevSecOps &amp; Security: Azure DevOps, DevSecOps, Cloud Security, Site Reliability Engineering (SRE), CI/CD,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