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Terraform, AWS, Microsoft Azure, Azure Kubernetes Service (AKS), Cloud Engineering, Virtual Networks (VNets), Private Endpoints, Key Vault, Azure Storage, Azure SQL, Managed Identity, Infrastructure as Code (IaC), Azure Resource Manager (ARM), Cost Optimization</w:t>
      </w:r>
      <w:r>
        <w:rPr>
          <w:rFonts w:ascii="Calibri" w:hAnsi="Calibri"/>
          <w:sz w:val="20"/>
        </w:rPr>
      </w:r>
    </w:p>
    <w:p>
      <w:pPr>
        <w:spacing w:after="0" w:line="252" w:lineRule="auto"/>
      </w:pPr>
      <w:r>
        <w:rPr>
          <w:rFonts w:ascii="Calibri" w:hAnsi="Calibri"/>
          <w:b/>
          <w:sz w:val="20"/>
        </w:rPr>
        <w:t>DevSecOps &amp; Security: CI/CD, GitLab CI/CD, AWS IAM, AWS GuardDuty, AWS CloudTrail, AWS Config, Azure DevOps, DevSecOps, Cloud Security, Site Reliability Engineering (SRE), GitHub Actions, Docker, Helm, Microsoft Defender for Cloud, Azure Policy, Security Compliance, Entra ID, RBAC, IAM, PAM, MFA, CIS Benchmarks, NIST, CVSS, Vulnerability Management, NSGs, S3 Security</w:t>
      </w:r>
      <w:r>
        <w:rPr>
          <w:rFonts w:ascii="Calibri" w:hAnsi="Calibri"/>
          <w:sz w:val="20"/>
        </w:rPr>
      </w:r>
    </w:p>
    <w:p>
      <w:pPr>
        <w:spacing w:after="0" w:line="252" w:lineRule="auto"/>
      </w:pPr>
      <w:r>
        <w:rPr>
          <w:rFonts w:ascii="Calibri" w:hAnsi="Calibri"/>
          <w:b/>
          <w:sz w:val="20"/>
        </w:rPr>
        <w:t>SRE, Scripting &amp; AI: Grafana, Python, Linux, Kubernetes, Node Pools, HPA, Prometheus, Azure Monitor, Log Analytics, Observability, MTTR, Shell Scripting,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