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Microsoft Azure, Azure Kubernetes Service (AKS), AWS,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CI/CD, GitLab CI/CD, Site Reliability Engineering (SRE), DevSecOps, Cloud Security, Azure DevOps, GitHub Actions, Docker, Helm, Microsoft Defender for Cloud, Azure Policy, Security Compliance, Entra ID, RBAC, IAM, PAM, MFA, CIS Benchmarks, NIST, CVSS, Vulnerability Management, NSGs, AWS IAM, AWS GuardDuty, AWS CloudTrail, AWS Config, S3 Security</w:t>
      </w:r>
      <w:r>
        <w:rPr>
          <w:rFonts w:ascii="Calibri" w:hAnsi="Calibri"/>
          <w:sz w:val="20"/>
        </w:rPr>
      </w:r>
    </w:p>
    <w:p>
      <w:pPr>
        <w:spacing w:after="0" w:line="252" w:lineRule="auto"/>
      </w:pPr>
      <w:r>
        <w:rPr>
          <w:rFonts w:ascii="Calibri" w:hAnsi="Calibri"/>
          <w:b/>
          <w:sz w:val="20"/>
        </w:rPr>
        <w:t>SRE, Scripting &amp; AI: Prometheus, Grafana, Python, Linux, Kubernetes, Node Pools, HPA, Azure Monitor, Log Analytics, Observability, MTTR, Shell Scripting,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