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410" w:rsidRPr="006F5410" w:rsidRDefault="006F5410" w:rsidP="006F5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10">
        <w:rPr>
          <w:rFonts w:ascii="Times New Roman" w:eastAsia="Times New Roman" w:hAnsi="Times New Roman" w:cs="Times New Roman"/>
          <w:b/>
          <w:bCs/>
          <w:sz w:val="36"/>
          <w:szCs w:val="36"/>
        </w:rPr>
        <w:t>Overall Performance Overview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Sales: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₹281,931.77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</w:p>
    <w:p w:rsidR="006F5410" w:rsidRPr="006F5410" w:rsidRDefault="006F5410" w:rsidP="006F5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This is the total sales across all regions, months, products, and customers.</w:t>
      </w:r>
    </w:p>
    <w:p w:rsidR="006F5410" w:rsidRPr="006F5410" w:rsidRDefault="006F5410" w:rsidP="006F5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It’s the </w:t>
      </w:r>
      <w:r w:rsidRPr="006F5410">
        <w:rPr>
          <w:rFonts w:ascii="Times New Roman" w:eastAsia="Times New Roman" w:hAnsi="Times New Roman" w:cs="Times New Roman"/>
          <w:i/>
          <w:iCs/>
          <w:sz w:val="24"/>
          <w:szCs w:val="24"/>
        </w:rPr>
        <w:t>baseline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number against which we’ll compare all further insights.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:rsidR="006F5410" w:rsidRPr="006F5410" w:rsidRDefault="006F5410" w:rsidP="006F5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Treat ₹281K as 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>reference metric for performance KPIs.</w:t>
      </w:r>
    </w:p>
    <w:p w:rsidR="006F5410" w:rsidRPr="00351870" w:rsidRDefault="006F5410" w:rsidP="00351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Set growth or improvement targets (e.g., +10% next quarter = ₹310K target).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10">
        <w:rPr>
          <w:rFonts w:ascii="Times New Roman" w:eastAsia="Times New Roman" w:hAnsi="Times New Roman" w:cs="Times New Roman"/>
          <w:b/>
          <w:bCs/>
          <w:sz w:val="36"/>
          <w:szCs w:val="36"/>
        </w:rPr>
        <w:t>Sales by 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140"/>
        <w:gridCol w:w="1542"/>
      </w:tblGrid>
      <w:tr w:rsidR="006F5410" w:rsidRPr="006F5410" w:rsidTr="006F5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 of Total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87,711.53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70,976.98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67,105.31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56,137.95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281,931.77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:rsidR="006F5410" w:rsidRPr="006F5410" w:rsidRDefault="006F5410" w:rsidP="006F5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South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region is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strongest contributor (≈31% of total).</w:t>
      </w:r>
    </w:p>
    <w:p w:rsidR="006F5410" w:rsidRPr="006F5410" w:rsidRDefault="006F5410" w:rsidP="006F5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West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is lagging at only 20%, a 36% gap behind the South.</w:t>
      </w:r>
    </w:p>
    <w:p w:rsidR="006F5410" w:rsidRPr="006F5410" w:rsidRDefault="006F5410" w:rsidP="006F5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East and North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are performing close to the average.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Meaning:</w:t>
      </w:r>
    </w:p>
    <w:p w:rsidR="006F5410" w:rsidRPr="006F5410" w:rsidRDefault="006F5410" w:rsidP="006F5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Either the South has higher market penetration, better distribution, or pricing advantage.</w:t>
      </w:r>
    </w:p>
    <w:p w:rsidR="006F5410" w:rsidRPr="006F5410" w:rsidRDefault="006F5410" w:rsidP="006F5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The West likely has growth potential — may need marketing or logistics improvements.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Recommendations:</w:t>
      </w:r>
    </w:p>
    <w:p w:rsidR="006F5410" w:rsidRPr="006F5410" w:rsidRDefault="006F5410" w:rsidP="006F5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Study why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South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performs well — replicate successful practices.</w:t>
      </w:r>
    </w:p>
    <w:p w:rsidR="006F5410" w:rsidRPr="006F5410" w:rsidRDefault="006F5410" w:rsidP="006F5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Launch targeted campaigns or dealer incentives in the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West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to boost sales.</w:t>
      </w:r>
    </w:p>
    <w:p w:rsidR="006F5410" w:rsidRPr="00351870" w:rsidRDefault="006F5410" w:rsidP="00351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Review supply chain or service coverage in low-performing areas.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10">
        <w:rPr>
          <w:rFonts w:ascii="Times New Roman" w:eastAsia="Times New Roman" w:hAnsi="Times New Roman" w:cs="Times New Roman"/>
          <w:b/>
          <w:bCs/>
          <w:sz w:val="36"/>
          <w:szCs w:val="36"/>
        </w:rPr>
        <w:t>Monthly Sales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20"/>
        <w:gridCol w:w="1368"/>
      </w:tblGrid>
      <w:tr w:rsidR="006F5410" w:rsidRPr="006F5410" w:rsidTr="006F5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97,511.90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Segoe UI Symbol" w:eastAsia="Times New Roman" w:hAnsi="Segoe UI Symbol" w:cs="Segoe UI Symbol"/>
                <w:sz w:val="24"/>
                <w:szCs w:val="24"/>
              </w:rPr>
              <w:t>🔼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Highest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87,370.93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Segoe UI Symbol" w:eastAsia="Times New Roman" w:hAnsi="Segoe UI Symbol" w:cs="Segoe UI Symbol"/>
                <w:sz w:val="24"/>
                <w:szCs w:val="24"/>
              </w:rPr>
              <w:t>🔽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Drop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97,048.94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Segoe UI Symbol" w:eastAsia="Times New Roman" w:hAnsi="Segoe UI Symbol" w:cs="Segoe UI Symbol"/>
                <w:sz w:val="24"/>
                <w:szCs w:val="24"/>
              </w:rPr>
              <w:t>🔼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Recovered</w:t>
            </w:r>
          </w:p>
        </w:tc>
      </w:tr>
    </w:tbl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:rsidR="006F5410" w:rsidRPr="006F5410" w:rsidRDefault="006F5410" w:rsidP="006F5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lastRenderedPageBreak/>
        <w:t>Sales dipped by 10% in February, then rebounded in March.</w:t>
      </w:r>
    </w:p>
    <w:p w:rsidR="006F5410" w:rsidRPr="006F5410" w:rsidRDefault="006F5410" w:rsidP="006F5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Average monthly sales ≈ ₹93,977.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Meaning:</w:t>
      </w:r>
    </w:p>
    <w:p w:rsidR="006F5410" w:rsidRPr="006F5410" w:rsidRDefault="006F5410" w:rsidP="006F5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Possible seasonal factors or campaign-driven variations.</w:t>
      </w:r>
    </w:p>
    <w:p w:rsidR="006F5410" w:rsidRPr="006F5410" w:rsidRDefault="006F5410" w:rsidP="006F5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If this pattern repeats monthly, forecasting can anticipate dips.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6F5410" w:rsidRPr="006F5410" w:rsidRDefault="006F5410" w:rsidP="006F5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Investigate February’s dip (e.g., fewer working days, delayed dispatches, low campaigns).</w:t>
      </w:r>
    </w:p>
    <w:p w:rsidR="006F5410" w:rsidRPr="006F5410" w:rsidRDefault="006F5410" w:rsidP="006F5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Consider running promotions mid-quarter to maintain consistency.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10">
        <w:rPr>
          <w:rFonts w:ascii="Times New Roman" w:eastAsia="Times New Roman" w:hAnsi="Times New Roman" w:cs="Times New Roman"/>
          <w:b/>
          <w:bCs/>
          <w:sz w:val="36"/>
          <w:szCs w:val="36"/>
        </w:rPr>
        <w:t>Sales by Product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80"/>
        <w:gridCol w:w="675"/>
      </w:tblGrid>
      <w:tr w:rsidR="006F5410" w:rsidRPr="006F5410" w:rsidTr="006F5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68,477.41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24%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57,189.46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56,621.39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Grocery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54,502.34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19%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45,141.17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16%</w:t>
            </w:r>
          </w:p>
        </w:tc>
      </w:tr>
    </w:tbl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:rsidR="006F5410" w:rsidRPr="006F5410" w:rsidRDefault="006F5410" w:rsidP="006F5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dominates with 24% of total revenue.</w:t>
      </w:r>
    </w:p>
    <w:p w:rsidR="006F5410" w:rsidRPr="006F5410" w:rsidRDefault="006F5410" w:rsidP="006F5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Categories are relatively balanced — no category is overly dominant.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Meaning:</w:t>
      </w:r>
    </w:p>
    <w:p w:rsidR="006F5410" w:rsidRPr="006F5410" w:rsidRDefault="006F5410" w:rsidP="006F5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A healthy product mix — diversified revenue base.</w:t>
      </w:r>
    </w:p>
    <w:p w:rsidR="006F5410" w:rsidRPr="006F5410" w:rsidRDefault="006F5410" w:rsidP="006F5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But the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Sports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segment might need a product refresh or better visibility.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6F5410" w:rsidRPr="006F5410" w:rsidRDefault="006F5410" w:rsidP="006F5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Increase marketing or bundling offers in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Sports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410" w:rsidRPr="006F5410" w:rsidRDefault="006F5410" w:rsidP="006F5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Focus on high-margin SKUs within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to maximize profit.</w:t>
      </w:r>
    </w:p>
    <w:p w:rsidR="006F5410" w:rsidRPr="006F5410" w:rsidRDefault="006F5410" w:rsidP="006F5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Track category-wise profit, not just revenue, to align strategy.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10">
        <w:rPr>
          <w:rFonts w:ascii="Times New Roman" w:eastAsia="Times New Roman" w:hAnsi="Times New Roman" w:cs="Times New Roman"/>
          <w:b/>
          <w:bCs/>
          <w:sz w:val="36"/>
          <w:szCs w:val="36"/>
        </w:rPr>
        <w:t>Top 10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40"/>
        <w:gridCol w:w="1902"/>
      </w:tblGrid>
      <w:tr w:rsidR="006F5410" w:rsidRPr="006F5410" w:rsidTr="006F5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of Total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Top 10 Total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146,497.40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52%</w:t>
            </w:r>
          </w:p>
        </w:tc>
      </w:tr>
    </w:tbl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:rsidR="006F5410" w:rsidRPr="006F5410" w:rsidRDefault="006F5410" w:rsidP="006F5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10 customers generate over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half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of total revenue.</w:t>
      </w:r>
    </w:p>
    <w:p w:rsidR="006F5410" w:rsidRPr="006F5410" w:rsidRDefault="006F5410" w:rsidP="006F5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Top customer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C1044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contributes ₹23,608.44 alone.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lastRenderedPageBreak/>
        <w:t>💡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Meaning:</w:t>
      </w:r>
    </w:p>
    <w:p w:rsidR="006F5410" w:rsidRPr="006F5410" w:rsidRDefault="006F5410" w:rsidP="006F5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Strong reliance on a small customer group — typical in B2B but risky if one leaves.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6F5410" w:rsidRPr="006F5410" w:rsidRDefault="006F5410" w:rsidP="006F5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Strengthen loyalty programs or account management for top 10 customers.</w:t>
      </w:r>
    </w:p>
    <w:p w:rsidR="006F5410" w:rsidRPr="006F5410" w:rsidRDefault="006F5410" w:rsidP="006F5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Diversify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base — grow mid-tier clients to reduce dependency.</w:t>
      </w:r>
    </w:p>
    <w:p w:rsidR="006F5410" w:rsidRPr="006F5410" w:rsidRDefault="006F5410" w:rsidP="006F5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Use predictive analytics to identify churn risk among top clients.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10">
        <w:rPr>
          <w:rFonts w:ascii="Times New Roman" w:eastAsia="Times New Roman" w:hAnsi="Times New Roman" w:cs="Times New Roman"/>
          <w:b/>
          <w:bCs/>
          <w:sz w:val="36"/>
          <w:szCs w:val="36"/>
        </w:rPr>
        <w:t>Sales by Payment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020"/>
        <w:gridCol w:w="975"/>
      </w:tblGrid>
      <w:tr w:rsidR="006F5410" w:rsidRPr="006F5410" w:rsidTr="006F5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Share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99,378.99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8E127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6F5410"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88,047.56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8E127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6F5410"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Debit Card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53,230.34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8E127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6F5410"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19%</w:t>
            </w:r>
          </w:p>
        </w:tc>
      </w:tr>
      <w:tr w:rsidR="006F5410" w:rsidRPr="006F5410" w:rsidTr="006F5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6F541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410">
              <w:rPr>
                <w:rFonts w:ascii="Times New Roman" w:eastAsia="Times New Roman" w:hAnsi="Times New Roman" w:cs="Times New Roman"/>
                <w:sz w:val="24"/>
                <w:szCs w:val="24"/>
              </w:rPr>
              <w:t>41,274.88</w:t>
            </w:r>
          </w:p>
        </w:tc>
        <w:tc>
          <w:tcPr>
            <w:tcW w:w="0" w:type="auto"/>
            <w:vAlign w:val="center"/>
            <w:hideMark/>
          </w:tcPr>
          <w:p w:rsidR="006F5410" w:rsidRPr="006F5410" w:rsidRDefault="008E1270" w:rsidP="006F5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6F5410" w:rsidRPr="006F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</w:tr>
    </w:tbl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:rsidR="006F5410" w:rsidRPr="006F5410" w:rsidRDefault="006F5410" w:rsidP="006F5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Digital payments dominate (69</w:t>
      </w:r>
      <w:bookmarkStart w:id="0" w:name="_GoBack"/>
      <w:bookmarkEnd w:id="0"/>
      <w:r w:rsidRPr="006F5410">
        <w:rPr>
          <w:rFonts w:ascii="Times New Roman" w:eastAsia="Times New Roman" w:hAnsi="Times New Roman" w:cs="Times New Roman"/>
          <w:sz w:val="24"/>
          <w:szCs w:val="24"/>
        </w:rPr>
        <w:t>% combined).</w:t>
      </w:r>
    </w:p>
    <w:p w:rsidR="006F5410" w:rsidRPr="006F5410" w:rsidRDefault="006F5410" w:rsidP="006F5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COD (Cash on Delivery)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still has a large 31% share — customers value flexibility.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Meaning:</w:t>
      </w:r>
    </w:p>
    <w:p w:rsidR="006F5410" w:rsidRPr="006F5410" w:rsidRDefault="006F5410" w:rsidP="006F5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Indicates trust in digital systems but continued reliance on cash.</w:t>
      </w:r>
    </w:p>
    <w:p w:rsidR="006F5410" w:rsidRPr="006F5410" w:rsidRDefault="006F5410" w:rsidP="006F5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UPI growth potential — low processing costs and high convenience.</w:t>
      </w:r>
    </w:p>
    <w:p w:rsidR="006F5410" w:rsidRPr="006F5410" w:rsidRDefault="006F5410" w:rsidP="006F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6F5410" w:rsidRPr="006F5410" w:rsidRDefault="006F5410" w:rsidP="006F5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  <w:r w:rsidRPr="006F5410">
        <w:rPr>
          <w:rFonts w:ascii="Times New Roman" w:eastAsia="Times New Roman" w:hAnsi="Times New Roman" w:cs="Times New Roman"/>
          <w:b/>
          <w:bCs/>
          <w:sz w:val="24"/>
          <w:szCs w:val="24"/>
        </w:rPr>
        <w:t>discounts for prepaid (digital)</w:t>
      </w:r>
      <w:r w:rsidRPr="006F5410">
        <w:rPr>
          <w:rFonts w:ascii="Times New Roman" w:eastAsia="Times New Roman" w:hAnsi="Times New Roman" w:cs="Times New Roman"/>
          <w:sz w:val="24"/>
          <w:szCs w:val="24"/>
        </w:rPr>
        <w:t xml:space="preserve"> payments to reduce COD handling costs.</w:t>
      </w:r>
    </w:p>
    <w:p w:rsidR="006F5410" w:rsidRPr="006F5410" w:rsidRDefault="006F5410" w:rsidP="006F5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Monitor failed UPI transactions or abandoned carts if applicable.</w:t>
      </w:r>
    </w:p>
    <w:p w:rsidR="006F5410" w:rsidRDefault="006F5410" w:rsidP="006F5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10">
        <w:rPr>
          <w:rFonts w:ascii="Times New Roman" w:eastAsia="Times New Roman" w:hAnsi="Times New Roman" w:cs="Times New Roman"/>
          <w:sz w:val="24"/>
          <w:szCs w:val="24"/>
        </w:rPr>
        <w:t>Partner with fintech for better digital experience.</w:t>
      </w:r>
    </w:p>
    <w:p w:rsidR="008E1270" w:rsidRDefault="008E1270" w:rsidP="008E1270">
      <w:pPr>
        <w:pStyle w:val="Heading2"/>
      </w:pPr>
      <w:r>
        <w:rPr>
          <w:rStyle w:val="Strong"/>
          <w:b/>
          <w:bCs/>
        </w:rPr>
        <w:t>Overall Summary for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194"/>
        <w:gridCol w:w="4140"/>
      </w:tblGrid>
      <w:tr w:rsidR="008E1270" w:rsidTr="008E1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270" w:rsidRDefault="008E12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164" w:type="dxa"/>
            <w:vAlign w:val="center"/>
            <w:hideMark/>
          </w:tcPr>
          <w:p w:rsidR="008E1270" w:rsidRDefault="008E12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Takeaway</w:t>
            </w:r>
          </w:p>
        </w:tc>
        <w:tc>
          <w:tcPr>
            <w:tcW w:w="4095" w:type="dxa"/>
            <w:vAlign w:val="center"/>
            <w:hideMark/>
          </w:tcPr>
          <w:p w:rsidR="008E1270" w:rsidRDefault="008E1270" w:rsidP="008E1270">
            <w:pPr>
              <w:rPr>
                <w:b/>
                <w:bCs/>
              </w:rPr>
            </w:pPr>
            <w:r>
              <w:rPr>
                <w:b/>
                <w:bCs/>
              </w:rPr>
              <w:t>Recommended Focus</w:t>
            </w:r>
          </w:p>
        </w:tc>
      </w:tr>
      <w:tr w:rsidR="008E1270" w:rsidTr="008E1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270" w:rsidRDefault="008E1270">
            <w:r>
              <w:t>Region</w:t>
            </w:r>
          </w:p>
        </w:tc>
        <w:tc>
          <w:tcPr>
            <w:tcW w:w="3164" w:type="dxa"/>
            <w:vAlign w:val="center"/>
            <w:hideMark/>
          </w:tcPr>
          <w:p w:rsidR="008E1270" w:rsidRDefault="008E1270" w:rsidP="008E1270">
            <w:pPr>
              <w:ind w:left="465" w:hanging="465"/>
            </w:pPr>
            <w:r>
              <w:t xml:space="preserve">         </w:t>
            </w:r>
            <w:r>
              <w:t>South strong; West weak</w:t>
            </w:r>
          </w:p>
        </w:tc>
        <w:tc>
          <w:tcPr>
            <w:tcW w:w="4095" w:type="dxa"/>
            <w:vAlign w:val="center"/>
            <w:hideMark/>
          </w:tcPr>
          <w:p w:rsidR="008E1270" w:rsidRDefault="008E1270" w:rsidP="008E1270">
            <w:pPr>
              <w:ind w:left="150" w:hanging="150"/>
            </w:pPr>
            <w:r>
              <w:t>Boost West with sales campaigns</w:t>
            </w:r>
          </w:p>
        </w:tc>
      </w:tr>
      <w:tr w:rsidR="008E1270" w:rsidTr="008E1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270" w:rsidRDefault="008E1270">
            <w:r>
              <w:t>Month</w:t>
            </w:r>
          </w:p>
        </w:tc>
        <w:tc>
          <w:tcPr>
            <w:tcW w:w="3164" w:type="dxa"/>
            <w:vAlign w:val="center"/>
            <w:hideMark/>
          </w:tcPr>
          <w:p w:rsidR="008E1270" w:rsidRDefault="008E1270" w:rsidP="008E1270">
            <w:pPr>
              <w:ind w:left="465" w:hanging="465"/>
            </w:pPr>
            <w:r>
              <w:t xml:space="preserve">         </w:t>
            </w:r>
            <w:r>
              <w:t>Feb dip</w:t>
            </w:r>
          </w:p>
        </w:tc>
        <w:tc>
          <w:tcPr>
            <w:tcW w:w="4095" w:type="dxa"/>
            <w:vAlign w:val="center"/>
            <w:hideMark/>
          </w:tcPr>
          <w:p w:rsidR="008E1270" w:rsidRDefault="008E1270">
            <w:r>
              <w:t>Stabilize monthly performance</w:t>
            </w:r>
          </w:p>
        </w:tc>
      </w:tr>
      <w:tr w:rsidR="008E1270" w:rsidTr="008E1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270" w:rsidRDefault="008E1270">
            <w:r>
              <w:t>Product</w:t>
            </w:r>
            <w:r>
              <w:t xml:space="preserve">         </w:t>
            </w:r>
          </w:p>
        </w:tc>
        <w:tc>
          <w:tcPr>
            <w:tcW w:w="3164" w:type="dxa"/>
            <w:vAlign w:val="center"/>
            <w:hideMark/>
          </w:tcPr>
          <w:p w:rsidR="008E1270" w:rsidRDefault="008E1270" w:rsidP="008E1270">
            <w:pPr>
              <w:ind w:left="465" w:hanging="465"/>
            </w:pPr>
            <w:r>
              <w:t xml:space="preserve">         </w:t>
            </w:r>
            <w:r>
              <w:t>Balanced mix</w:t>
            </w:r>
          </w:p>
        </w:tc>
        <w:tc>
          <w:tcPr>
            <w:tcW w:w="4095" w:type="dxa"/>
            <w:vAlign w:val="center"/>
            <w:hideMark/>
          </w:tcPr>
          <w:p w:rsidR="008E1270" w:rsidRDefault="008E1270">
            <w:r>
              <w:t>Push Sports &amp; optimize Electronics margins</w:t>
            </w:r>
          </w:p>
        </w:tc>
      </w:tr>
      <w:tr w:rsidR="008E1270" w:rsidTr="008E1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270" w:rsidRDefault="008E1270">
            <w:r>
              <w:t>Customer</w:t>
            </w:r>
          </w:p>
        </w:tc>
        <w:tc>
          <w:tcPr>
            <w:tcW w:w="3164" w:type="dxa"/>
            <w:vAlign w:val="center"/>
            <w:hideMark/>
          </w:tcPr>
          <w:p w:rsidR="008E1270" w:rsidRDefault="008E1270" w:rsidP="008E1270">
            <w:pPr>
              <w:ind w:left="465" w:hanging="465"/>
            </w:pPr>
            <w:r>
              <w:t xml:space="preserve">         </w:t>
            </w:r>
            <w:r>
              <w:t>10 drive 52%</w:t>
            </w:r>
          </w:p>
        </w:tc>
        <w:tc>
          <w:tcPr>
            <w:tcW w:w="4095" w:type="dxa"/>
            <w:vAlign w:val="center"/>
            <w:hideMark/>
          </w:tcPr>
          <w:p w:rsidR="008E1270" w:rsidRDefault="008E1270">
            <w:r>
              <w:t>Strengthen key accounts, diversify</w:t>
            </w:r>
          </w:p>
        </w:tc>
      </w:tr>
      <w:tr w:rsidR="008E1270" w:rsidTr="008E1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270" w:rsidRDefault="008E1270">
            <w:r>
              <w:t>Payment</w:t>
            </w:r>
          </w:p>
        </w:tc>
        <w:tc>
          <w:tcPr>
            <w:tcW w:w="3164" w:type="dxa"/>
            <w:vAlign w:val="center"/>
            <w:hideMark/>
          </w:tcPr>
          <w:p w:rsidR="008E1270" w:rsidRDefault="008E1270" w:rsidP="008E1270">
            <w:pPr>
              <w:ind w:left="465" w:hanging="465"/>
            </w:pPr>
            <w:r>
              <w:t xml:space="preserve">         </w:t>
            </w:r>
            <w:r>
              <w:t>69% digital</w:t>
            </w:r>
          </w:p>
        </w:tc>
        <w:tc>
          <w:tcPr>
            <w:tcW w:w="4095" w:type="dxa"/>
            <w:vAlign w:val="center"/>
            <w:hideMark/>
          </w:tcPr>
          <w:p w:rsidR="008E1270" w:rsidRDefault="008E1270">
            <w:r>
              <w:t>Incentivize prepaid &amp; UPI</w:t>
            </w:r>
          </w:p>
        </w:tc>
      </w:tr>
    </w:tbl>
    <w:p w:rsidR="006237A0" w:rsidRPr="006F5410" w:rsidRDefault="006237A0" w:rsidP="006F5410"/>
    <w:sectPr w:rsidR="006237A0" w:rsidRPr="006F5410" w:rsidSect="00351870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C0664"/>
    <w:multiLevelType w:val="multilevel"/>
    <w:tmpl w:val="DA4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1869"/>
    <w:multiLevelType w:val="multilevel"/>
    <w:tmpl w:val="446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DFF"/>
    <w:multiLevelType w:val="multilevel"/>
    <w:tmpl w:val="D880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C6C72"/>
    <w:multiLevelType w:val="multilevel"/>
    <w:tmpl w:val="658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597B"/>
    <w:multiLevelType w:val="multilevel"/>
    <w:tmpl w:val="FAB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4001"/>
    <w:multiLevelType w:val="multilevel"/>
    <w:tmpl w:val="56A6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530DD"/>
    <w:multiLevelType w:val="multilevel"/>
    <w:tmpl w:val="7D4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B4E59"/>
    <w:multiLevelType w:val="multilevel"/>
    <w:tmpl w:val="D246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011C4"/>
    <w:multiLevelType w:val="hybridMultilevel"/>
    <w:tmpl w:val="72EEA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03082"/>
    <w:multiLevelType w:val="multilevel"/>
    <w:tmpl w:val="423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05AF4"/>
    <w:multiLevelType w:val="multilevel"/>
    <w:tmpl w:val="242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211B7"/>
    <w:multiLevelType w:val="multilevel"/>
    <w:tmpl w:val="810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32411"/>
    <w:multiLevelType w:val="multilevel"/>
    <w:tmpl w:val="AF6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55EB8"/>
    <w:multiLevelType w:val="multilevel"/>
    <w:tmpl w:val="F294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94781"/>
    <w:multiLevelType w:val="multilevel"/>
    <w:tmpl w:val="BF8A8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9B5A86"/>
    <w:multiLevelType w:val="multilevel"/>
    <w:tmpl w:val="FB0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849DE"/>
    <w:multiLevelType w:val="multilevel"/>
    <w:tmpl w:val="31BC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11F5E"/>
    <w:multiLevelType w:val="multilevel"/>
    <w:tmpl w:val="180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5"/>
  </w:num>
  <w:num w:numId="4">
    <w:abstractNumId w:val="2"/>
  </w:num>
  <w:num w:numId="5">
    <w:abstractNumId w:val="4"/>
  </w:num>
  <w:num w:numId="6">
    <w:abstractNumId w:val="7"/>
  </w:num>
  <w:num w:numId="7">
    <w:abstractNumId w:val="10"/>
  </w:num>
  <w:num w:numId="8">
    <w:abstractNumId w:val="1"/>
  </w:num>
  <w:num w:numId="9">
    <w:abstractNumId w:val="16"/>
  </w:num>
  <w:num w:numId="10">
    <w:abstractNumId w:val="17"/>
  </w:num>
  <w:num w:numId="11">
    <w:abstractNumId w:val="0"/>
  </w:num>
  <w:num w:numId="12">
    <w:abstractNumId w:val="13"/>
  </w:num>
  <w:num w:numId="13">
    <w:abstractNumId w:val="3"/>
  </w:num>
  <w:num w:numId="14">
    <w:abstractNumId w:val="9"/>
  </w:num>
  <w:num w:numId="15">
    <w:abstractNumId w:val="14"/>
  </w:num>
  <w:num w:numId="16">
    <w:abstractNumId w:val="6"/>
  </w:num>
  <w:num w:numId="17">
    <w:abstractNumId w:val="1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E5"/>
    <w:rsid w:val="00351870"/>
    <w:rsid w:val="003A03EB"/>
    <w:rsid w:val="00477964"/>
    <w:rsid w:val="006237A0"/>
    <w:rsid w:val="00655A81"/>
    <w:rsid w:val="006F5410"/>
    <w:rsid w:val="008E1270"/>
    <w:rsid w:val="00AE60B5"/>
    <w:rsid w:val="00BC4BD5"/>
    <w:rsid w:val="00DB5FE5"/>
    <w:rsid w:val="00E0251B"/>
    <w:rsid w:val="00E25192"/>
    <w:rsid w:val="00F33890"/>
    <w:rsid w:val="00F4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D19F"/>
  <w15:chartTrackingRefBased/>
  <w15:docId w15:val="{D9946882-698C-4C75-9D29-636EC2A7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54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B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F541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F54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5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F54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2025-11-03T10:58:00Z</dcterms:created>
  <dcterms:modified xsi:type="dcterms:W3CDTF">2025-11-04T11:19:00Z</dcterms:modified>
</cp:coreProperties>
</file>