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07" w:rsidRDefault="00D670E8" w:rsidP="00112C50">
      <w:pPr>
        <w:jc w:val="center"/>
        <w:rPr>
          <w:b/>
        </w:rPr>
      </w:pPr>
      <w:r w:rsidRPr="00D66B1F">
        <w:rPr>
          <w:b/>
        </w:rPr>
        <w:t>Хакатон «Цифровые двойники в энергетике»</w:t>
      </w:r>
    </w:p>
    <w:p w:rsidR="0079409C" w:rsidRPr="00DF4A85" w:rsidRDefault="00DF4A85" w:rsidP="00112C50">
      <w:pPr>
        <w:jc w:val="center"/>
        <w:rPr>
          <w:rFonts w:cstheme="minorHAnsi"/>
          <w:b/>
        </w:rPr>
      </w:pPr>
      <w:r w:rsidRPr="00D66B1F">
        <w:rPr>
          <w:rFonts w:cstheme="minorHAnsi"/>
          <w:b/>
        </w:rPr>
        <w:t>И</w:t>
      </w:r>
      <w:r w:rsidR="00D670E8" w:rsidRPr="00D66B1F">
        <w:rPr>
          <w:rFonts w:cstheme="minorHAnsi"/>
          <w:b/>
        </w:rPr>
        <w:t>сходные данные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 xml:space="preserve">Нефтегазоконденсатное месторождение - самое северное и одно из наиболее крупных на полуострове </w:t>
      </w:r>
      <w:hyperlink r:id="rId7" w:tooltip="Ямал" w:history="1">
        <w:r w:rsidRPr="00DF4A85">
          <w:rPr>
            <w:rFonts w:cstheme="minorHAnsi"/>
          </w:rPr>
          <w:t>Ямал</w:t>
        </w:r>
      </w:hyperlink>
      <w:r w:rsidRPr="00DF4A85">
        <w:rPr>
          <w:rFonts w:cstheme="minorHAnsi"/>
        </w:rPr>
        <w:t xml:space="preserve">. Расположено в </w:t>
      </w:r>
      <w:hyperlink r:id="rId8" w:tooltip="Ямальский район" w:history="1">
        <w:r w:rsidRPr="00DF4A85">
          <w:rPr>
            <w:rFonts w:cstheme="minorHAnsi"/>
          </w:rPr>
          <w:t>Ямальском районе</w:t>
        </w:r>
      </w:hyperlink>
      <w:r w:rsidRPr="00DF4A85">
        <w:rPr>
          <w:rFonts w:cstheme="minorHAnsi"/>
        </w:rPr>
        <w:t xml:space="preserve"> </w:t>
      </w:r>
      <w:hyperlink r:id="rId9" w:tooltip="Ямало-Ненецкий автономный округ" w:history="1">
        <w:r w:rsidRPr="00DF4A85">
          <w:rPr>
            <w:rFonts w:cstheme="minorHAnsi"/>
          </w:rPr>
          <w:t>Ямало-Ненецкого автономного округа</w:t>
        </w:r>
      </w:hyperlink>
      <w:r w:rsidRPr="00DF4A85">
        <w:rPr>
          <w:rFonts w:cstheme="minorHAnsi"/>
        </w:rPr>
        <w:t xml:space="preserve">, в 360 км к северо-востоку от города </w:t>
      </w:r>
      <w:hyperlink r:id="rId10" w:tooltip="Салехард" w:history="1">
        <w:r w:rsidRPr="00DF4A85">
          <w:rPr>
            <w:rFonts w:cstheme="minorHAnsi"/>
          </w:rPr>
          <w:t>Салехард</w:t>
        </w:r>
      </w:hyperlink>
      <w:r w:rsidRPr="00DF4A85">
        <w:rPr>
          <w:rFonts w:cstheme="minorHAnsi"/>
        </w:rPr>
        <w:t xml:space="preserve">, в 30 км от побережья </w:t>
      </w:r>
      <w:hyperlink r:id="rId11" w:tooltip="Обская губа" w:history="1">
        <w:r w:rsidRPr="00DF4A85">
          <w:rPr>
            <w:rFonts w:cstheme="minorHAnsi"/>
          </w:rPr>
          <w:t>Обской губы</w:t>
        </w:r>
      </w:hyperlink>
      <w:r w:rsidRPr="00DF4A85">
        <w:rPr>
          <w:rFonts w:cstheme="minorHAnsi"/>
        </w:rPr>
        <w:t>.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Сеть автомобильных дорог с твердым покрытием в регионе развита крайне слабо. Связь с материком в летний период осуществляется только воздушным и морским путём, в зимний – воздушным путём и автомобильным транспортом по зимнику.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Ближайшие населенные пункты: Новый Порт, Мыс-Каменный.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 xml:space="preserve">Важнейшей особенностью природной обстановки является очень широкое распространение многолетнемёрзлых пород, определяющей весь комплекс инженерно-геологических условий. Температура грунтов, криогенное строение, мощность толщ, мощность слоя сезонного протаивания и промерзания формировались и развивались под влиянием климатических факторов природных условий и истории геологического развития территории в верхнечетвертичном и голоценовом периодах. Территория месторождения расположена в зоне сплошного распространения многолетнемёрзлых пород (ММП). 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Природно-климатическую характеристику района принять по СП 131.13330.2020: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- абсолютная минимальная температура воздуха составляет -54°С;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 xml:space="preserve">- абсолютная максимальная температура воздуха составляет +34°С; 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-</w:t>
      </w:r>
      <w:r w:rsidR="00DF4A85">
        <w:rPr>
          <w:rFonts w:cstheme="minorHAnsi"/>
        </w:rPr>
        <w:t xml:space="preserve"> </w:t>
      </w:r>
      <w:r w:rsidRPr="00DF4A85">
        <w:rPr>
          <w:rFonts w:cstheme="minorHAnsi"/>
        </w:rPr>
        <w:t>расчетная температура для проектирования системы отопления составляет</w:t>
      </w:r>
      <w:r w:rsidR="00DF4A85">
        <w:rPr>
          <w:rFonts w:cstheme="minorHAnsi"/>
        </w:rPr>
        <w:t xml:space="preserve"> </w:t>
      </w:r>
      <w:r w:rsidRPr="00DF4A85">
        <w:rPr>
          <w:rFonts w:cstheme="minorHAnsi"/>
        </w:rPr>
        <w:t>-48°С;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- расчетная температура для проектирования си</w:t>
      </w:r>
      <w:r w:rsidR="00DF4A85">
        <w:rPr>
          <w:rFonts w:cstheme="minorHAnsi"/>
        </w:rPr>
        <w:t xml:space="preserve">стемы вентиляции составляет </w:t>
      </w:r>
      <w:r w:rsidRPr="00DF4A85">
        <w:rPr>
          <w:rFonts w:cstheme="minorHAnsi"/>
        </w:rPr>
        <w:t xml:space="preserve">-36°С; 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- средняя температура наиболее холодного месяца составляет -26,5°С;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- средняя температура отопительного периода составляет -13,1°С;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 xml:space="preserve">- средняя максимальная температура воздуха составляет +24,8°С; 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- продолжительность отопительного периода 283 суток.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Добыча углеводородов на полуострове Ямал ведется в сложных климатических условиях Заполярья.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 xml:space="preserve">Нефть с месторождения до побережья доставляется по напорному нефтепроводу протяженностью более 100 км и далее транспортируется морским путем через Обскую губу и далее по </w:t>
      </w:r>
      <w:hyperlink r:id="rId12" w:tooltip="Северный морской путь" w:history="1">
        <w:r w:rsidRPr="00DF4A85">
          <w:rPr>
            <w:rFonts w:cstheme="minorHAnsi"/>
          </w:rPr>
          <w:t>Северному морскому пути</w:t>
        </w:r>
      </w:hyperlink>
      <w:r w:rsidRPr="00DF4A85">
        <w:rPr>
          <w:rFonts w:cstheme="minorHAnsi"/>
        </w:rPr>
        <w:t xml:space="preserve"> танкерами.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В 2017 году введена первая очередь газотурбинной электростанции мощностью 96 МВт (с возможностью ее увеличения до 144 МВт).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  <w:b/>
        </w:rPr>
      </w:pPr>
      <w:r w:rsidRPr="00DF4A85">
        <w:rPr>
          <w:rFonts w:cstheme="minorHAnsi"/>
          <w:b/>
        </w:rPr>
        <w:t>Состав основного энергетического оборудования:</w:t>
      </w:r>
    </w:p>
    <w:p w:rsidR="0079409C" w:rsidRPr="00DF4A85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Электростанция собственных нужд, состоящая из 9 газотурбинных энергетических агрегатов мощностью 16 МВт каждый (ГТУ-16П производства АО «ОДК-ПМ» на базе газогенератора авиационного двигателя ПС-90А). Проектная мощность ГТЭС - 144 МВт. Для нормального функционирования электростанции достаточно 20 человек обслуживающего персонала (средняя заработная плата составляет 150</w:t>
      </w:r>
      <w:r w:rsidR="008F6FA0">
        <w:rPr>
          <w:rFonts w:cstheme="minorHAnsi"/>
        </w:rPr>
        <w:t xml:space="preserve"> </w:t>
      </w:r>
      <w:r w:rsidRPr="00DF4A85">
        <w:rPr>
          <w:rFonts w:cstheme="minorHAnsi"/>
          <w:highlight w:val="white"/>
        </w:rPr>
        <w:t>000 руб. в</w:t>
      </w:r>
      <w:r w:rsidRPr="00DF4A85">
        <w:rPr>
          <w:rFonts w:cstheme="minorHAnsi"/>
        </w:rPr>
        <w:t xml:space="preserve"> месяц). Техническое обслуживание (ТО) одного агрегата производится силами привлеченной организации 1 раз в 1</w:t>
      </w:r>
      <w:r w:rsidR="008F6FA0">
        <w:rPr>
          <w:rFonts w:cstheme="minorHAnsi"/>
        </w:rPr>
        <w:t xml:space="preserve"> </w:t>
      </w:r>
      <w:r w:rsidRPr="00DF4A85">
        <w:rPr>
          <w:rFonts w:cstheme="minorHAnsi"/>
        </w:rPr>
        <w:t>500 моточасов (стоимость ТО 1</w:t>
      </w:r>
      <w:r w:rsidRPr="00DF4A85">
        <w:rPr>
          <w:rFonts w:cstheme="minorHAnsi"/>
          <w:highlight w:val="white"/>
        </w:rPr>
        <w:t>5</w:t>
      </w:r>
      <w:r w:rsidR="008F6FA0">
        <w:rPr>
          <w:rFonts w:cstheme="minorHAnsi"/>
          <w:highlight w:val="white"/>
        </w:rPr>
        <w:t xml:space="preserve"> </w:t>
      </w:r>
      <w:r w:rsidRPr="00DF4A85">
        <w:rPr>
          <w:rFonts w:cstheme="minorHAnsi"/>
          <w:highlight w:val="white"/>
        </w:rPr>
        <w:t>000 тыс. руб.), к</w:t>
      </w:r>
      <w:r w:rsidRPr="00DF4A85">
        <w:rPr>
          <w:rFonts w:cstheme="minorHAnsi"/>
        </w:rPr>
        <w:t>апитальный ремонт (КР) агрегата производят также сторонние организации с периодичностью 1 раз в 10</w:t>
      </w:r>
      <w:r w:rsidR="008F6FA0">
        <w:rPr>
          <w:rFonts w:cstheme="minorHAnsi"/>
        </w:rPr>
        <w:t xml:space="preserve"> </w:t>
      </w:r>
      <w:r w:rsidRPr="00DF4A85">
        <w:rPr>
          <w:rFonts w:cstheme="minorHAnsi"/>
        </w:rPr>
        <w:t>000 моточасов (стоимость 75</w:t>
      </w:r>
      <w:r w:rsidR="008F6FA0">
        <w:rPr>
          <w:rFonts w:cstheme="minorHAnsi"/>
        </w:rPr>
        <w:t xml:space="preserve"> </w:t>
      </w:r>
      <w:r w:rsidRPr="00DF4A85">
        <w:rPr>
          <w:rFonts w:cstheme="minorHAnsi"/>
        </w:rPr>
        <w:t>000</w:t>
      </w:r>
      <w:r w:rsidRPr="00DF4A85">
        <w:rPr>
          <w:rFonts w:cstheme="minorHAnsi"/>
          <w:highlight w:val="white"/>
        </w:rPr>
        <w:t xml:space="preserve"> тыс. руб.)    </w:t>
      </w:r>
    </w:p>
    <w:p w:rsidR="0079409C" w:rsidRDefault="00D670E8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Распределительная электрическая сеть 10 кВ ко всем объектам электроснабжения</w:t>
      </w:r>
      <w:r w:rsidR="008E034C">
        <w:rPr>
          <w:rFonts w:cstheme="minorHAnsi"/>
        </w:rPr>
        <w:t xml:space="preserve"> (Таблица 1)</w:t>
      </w:r>
      <w:r w:rsidR="00DF4A85">
        <w:rPr>
          <w:rFonts w:cstheme="minorHAnsi"/>
        </w:rPr>
        <w:t xml:space="preserve">: </w:t>
      </w:r>
      <w:r w:rsidR="00DF4A85" w:rsidRPr="00DF4A85">
        <w:rPr>
          <w:rFonts w:eastAsia="Times New Roman" w:cstheme="minorHAnsi"/>
          <w:lang w:eastAsia="ru-RU"/>
        </w:rPr>
        <w:t>Установка компримирования попутного газа</w:t>
      </w:r>
      <w:r w:rsidR="00DF4A85" w:rsidRPr="00DF4A85">
        <w:rPr>
          <w:rFonts w:cstheme="minorHAnsi"/>
        </w:rPr>
        <w:t xml:space="preserve"> </w:t>
      </w:r>
      <w:r w:rsidR="00DF4A85">
        <w:rPr>
          <w:rFonts w:cstheme="minorHAnsi"/>
        </w:rPr>
        <w:t>(</w:t>
      </w:r>
      <w:r w:rsidRPr="00DF4A85">
        <w:rPr>
          <w:rFonts w:cstheme="minorHAnsi"/>
        </w:rPr>
        <w:t>УКПГ</w:t>
      </w:r>
      <w:r w:rsidR="00DF4A85">
        <w:rPr>
          <w:rFonts w:cstheme="minorHAnsi"/>
        </w:rPr>
        <w:t>)</w:t>
      </w:r>
      <w:r w:rsidRPr="00DF4A85">
        <w:rPr>
          <w:rFonts w:cstheme="minorHAnsi"/>
        </w:rPr>
        <w:t xml:space="preserve">, </w:t>
      </w:r>
      <w:r w:rsidR="00DF4A85">
        <w:rPr>
          <w:rFonts w:eastAsia="Times New Roman" w:cstheme="minorHAnsi"/>
          <w:lang w:eastAsia="ru-RU"/>
        </w:rPr>
        <w:t>О</w:t>
      </w:r>
      <w:r w:rsidR="00DF4A85" w:rsidRPr="00DF4A85">
        <w:rPr>
          <w:rFonts w:eastAsia="Times New Roman" w:cstheme="minorHAnsi"/>
          <w:lang w:eastAsia="ru-RU"/>
        </w:rPr>
        <w:t>порная база промысла</w:t>
      </w:r>
      <w:r w:rsidR="00DF4A85" w:rsidRPr="00DF4A85">
        <w:rPr>
          <w:rFonts w:cstheme="minorHAnsi"/>
        </w:rPr>
        <w:t xml:space="preserve"> </w:t>
      </w:r>
      <w:r w:rsidR="00DF4A85">
        <w:rPr>
          <w:rFonts w:cstheme="minorHAnsi"/>
        </w:rPr>
        <w:t>(</w:t>
      </w:r>
      <w:r w:rsidRPr="00DF4A85">
        <w:rPr>
          <w:rFonts w:cstheme="minorHAnsi"/>
        </w:rPr>
        <w:t>ОБП</w:t>
      </w:r>
      <w:r w:rsidR="00DF4A85">
        <w:rPr>
          <w:rFonts w:cstheme="minorHAnsi"/>
        </w:rPr>
        <w:t>)</w:t>
      </w:r>
      <w:r w:rsidRPr="00DF4A85">
        <w:rPr>
          <w:rFonts w:cstheme="minorHAnsi"/>
        </w:rPr>
        <w:t xml:space="preserve">, </w:t>
      </w:r>
      <w:r w:rsidR="00DF4A85">
        <w:rPr>
          <w:rFonts w:eastAsia="Times New Roman" w:cstheme="minorHAnsi"/>
          <w:lang w:eastAsia="ru-RU"/>
        </w:rPr>
        <w:t>В</w:t>
      </w:r>
      <w:r w:rsidR="00DF4A85" w:rsidRPr="00DF4A85">
        <w:rPr>
          <w:rFonts w:eastAsia="Times New Roman" w:cstheme="minorHAnsi"/>
          <w:lang w:eastAsia="ru-RU"/>
        </w:rPr>
        <w:t>ременный жилой комплекс</w:t>
      </w:r>
      <w:r w:rsidR="00DF4A85" w:rsidRPr="00DF4A85">
        <w:rPr>
          <w:rFonts w:cstheme="minorHAnsi"/>
        </w:rPr>
        <w:t xml:space="preserve"> </w:t>
      </w:r>
      <w:r w:rsidR="00DF4A85">
        <w:rPr>
          <w:rFonts w:cstheme="minorHAnsi"/>
        </w:rPr>
        <w:t>(</w:t>
      </w:r>
      <w:r w:rsidRPr="00DF4A85">
        <w:rPr>
          <w:rFonts w:cstheme="minorHAnsi"/>
        </w:rPr>
        <w:t>ВЖК</w:t>
      </w:r>
      <w:r w:rsidR="00DF4A85">
        <w:rPr>
          <w:rFonts w:cstheme="minorHAnsi"/>
        </w:rPr>
        <w:t>)</w:t>
      </w:r>
      <w:r w:rsidRPr="00DF4A85">
        <w:rPr>
          <w:rFonts w:cstheme="minorHAnsi"/>
        </w:rPr>
        <w:t xml:space="preserve">, </w:t>
      </w:r>
      <w:r w:rsidR="00DF4A85">
        <w:rPr>
          <w:rFonts w:eastAsia="Times New Roman" w:cstheme="minorHAnsi"/>
          <w:lang w:eastAsia="ru-RU"/>
        </w:rPr>
        <w:t>П</w:t>
      </w:r>
      <w:r w:rsidR="00DF4A85" w:rsidRPr="00DF4A85">
        <w:rPr>
          <w:rFonts w:eastAsia="Times New Roman" w:cstheme="minorHAnsi"/>
          <w:lang w:eastAsia="ru-RU"/>
        </w:rPr>
        <w:t>остоянный жилой комплекс</w:t>
      </w:r>
      <w:r w:rsidR="00DF4A85" w:rsidRPr="00DF4A85">
        <w:rPr>
          <w:rFonts w:cstheme="minorHAnsi"/>
        </w:rPr>
        <w:t xml:space="preserve"> </w:t>
      </w:r>
      <w:r w:rsidR="00DF4A85">
        <w:rPr>
          <w:rFonts w:cstheme="minorHAnsi"/>
        </w:rPr>
        <w:t>(</w:t>
      </w:r>
      <w:r w:rsidRPr="00DF4A85">
        <w:rPr>
          <w:rFonts w:cstheme="minorHAnsi"/>
        </w:rPr>
        <w:t>ПЖК</w:t>
      </w:r>
      <w:r w:rsidR="00DF4A85">
        <w:rPr>
          <w:rFonts w:cstheme="minorHAnsi"/>
        </w:rPr>
        <w:t>)</w:t>
      </w:r>
      <w:r w:rsidRPr="00DF4A85">
        <w:rPr>
          <w:rFonts w:cstheme="minorHAnsi"/>
        </w:rPr>
        <w:t xml:space="preserve">, </w:t>
      </w:r>
      <w:r w:rsidR="00DF4A85" w:rsidRPr="00DF4A85">
        <w:rPr>
          <w:rFonts w:eastAsia="Times New Roman" w:cstheme="minorHAnsi"/>
          <w:lang w:eastAsia="ru-RU"/>
        </w:rPr>
        <w:t>Пункт сбора продукта</w:t>
      </w:r>
      <w:r w:rsidR="00DF4A85" w:rsidRPr="00DF4A85">
        <w:rPr>
          <w:rFonts w:cstheme="minorHAnsi"/>
        </w:rPr>
        <w:t xml:space="preserve"> </w:t>
      </w:r>
      <w:r w:rsidR="00DF4A85">
        <w:rPr>
          <w:rFonts w:cstheme="minorHAnsi"/>
        </w:rPr>
        <w:t>(</w:t>
      </w:r>
      <w:r w:rsidRPr="00DF4A85">
        <w:rPr>
          <w:rFonts w:cstheme="minorHAnsi"/>
        </w:rPr>
        <w:t>ПСП</w:t>
      </w:r>
      <w:r w:rsidR="00DF4A85">
        <w:rPr>
          <w:rFonts w:cstheme="minorHAnsi"/>
        </w:rPr>
        <w:t>)</w:t>
      </w:r>
      <w:r w:rsidRPr="00DF4A85">
        <w:rPr>
          <w:rFonts w:cstheme="minorHAnsi"/>
        </w:rPr>
        <w:t xml:space="preserve">, </w:t>
      </w:r>
      <w:r w:rsidR="00DF4A85">
        <w:rPr>
          <w:rFonts w:cstheme="minorHAnsi"/>
        </w:rPr>
        <w:t>Газотурбинная электростанция (</w:t>
      </w:r>
      <w:r w:rsidRPr="00DF4A85">
        <w:rPr>
          <w:rFonts w:cstheme="minorHAnsi"/>
        </w:rPr>
        <w:t>ГТЭС</w:t>
      </w:r>
      <w:r w:rsidR="00DF4A85">
        <w:rPr>
          <w:rFonts w:cstheme="minorHAnsi"/>
        </w:rPr>
        <w:t>)</w:t>
      </w:r>
      <w:r w:rsidRPr="00DF4A85">
        <w:rPr>
          <w:rFonts w:cstheme="minorHAnsi"/>
        </w:rPr>
        <w:t xml:space="preserve"> и кусты добывающих скважин</w:t>
      </w:r>
      <w:r w:rsidR="00DF4A85">
        <w:rPr>
          <w:rFonts w:cstheme="minorHAnsi"/>
        </w:rPr>
        <w:t xml:space="preserve"> (Куст </w:t>
      </w:r>
      <w:r w:rsidR="00DF4A85">
        <w:rPr>
          <w:rFonts w:cstheme="minorHAnsi"/>
          <w:lang w:val="en-US"/>
        </w:rPr>
        <w:t>N</w:t>
      </w:r>
      <w:r w:rsidR="00DF4A85">
        <w:rPr>
          <w:rFonts w:cstheme="minorHAnsi"/>
        </w:rPr>
        <w:t>), -</w:t>
      </w:r>
      <w:r w:rsidRPr="00DF4A85">
        <w:rPr>
          <w:rFonts w:cstheme="minorHAnsi"/>
        </w:rPr>
        <w:t xml:space="preserve"> выполнена</w:t>
      </w:r>
      <w:r w:rsidR="00DF4A85">
        <w:rPr>
          <w:rFonts w:cstheme="minorHAnsi"/>
        </w:rPr>
        <w:t xml:space="preserve"> </w:t>
      </w:r>
      <w:r w:rsidRPr="00DF4A85">
        <w:rPr>
          <w:rFonts w:cstheme="minorHAnsi"/>
        </w:rPr>
        <w:t xml:space="preserve">воздушными линиями на опорах типа ПС10ПИ-2АМ, проводами марки АС-120/19. Все объекты на месторождении имеют коэффициент мощности 0,97 не зависимо от загрузки оборудования. </w:t>
      </w:r>
      <w:r w:rsidRPr="00DF4A85">
        <w:rPr>
          <w:rFonts w:cstheme="minorHAnsi"/>
        </w:rPr>
        <w:lastRenderedPageBreak/>
        <w:t>Обслуживание распределительной сети осуществляет 30 работников (средняя заработная плата составляет 130</w:t>
      </w:r>
      <w:r w:rsidR="008F6FA0">
        <w:rPr>
          <w:rFonts w:cstheme="minorHAnsi"/>
        </w:rPr>
        <w:t xml:space="preserve"> </w:t>
      </w:r>
      <w:r w:rsidRPr="00DF4A85">
        <w:rPr>
          <w:rFonts w:cstheme="minorHAnsi"/>
        </w:rPr>
        <w:t>0</w:t>
      </w:r>
      <w:r w:rsidRPr="00DF4A85">
        <w:rPr>
          <w:rFonts w:cstheme="minorHAnsi"/>
          <w:highlight w:val="white"/>
        </w:rPr>
        <w:t>00 руб. в м</w:t>
      </w:r>
      <w:r w:rsidRPr="00DF4A85">
        <w:rPr>
          <w:rFonts w:cstheme="minorHAnsi"/>
        </w:rPr>
        <w:t>есяц).</w:t>
      </w:r>
    </w:p>
    <w:p w:rsidR="008E034C" w:rsidRPr="00DF4A85" w:rsidRDefault="008E034C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 xml:space="preserve">На каждом объекте </w:t>
      </w:r>
      <w:r>
        <w:rPr>
          <w:rFonts w:cstheme="minorHAnsi"/>
        </w:rPr>
        <w:t xml:space="preserve">УКПГ, ОБП, ВЖК, ПЖК, ПСП, ГТЭС (Таблица </w:t>
      </w:r>
      <w:r w:rsidR="007D7E22">
        <w:rPr>
          <w:rFonts w:cstheme="minorHAnsi"/>
        </w:rPr>
        <w:t>1</w:t>
      </w:r>
      <w:r>
        <w:rPr>
          <w:rFonts w:cstheme="minorHAnsi"/>
        </w:rPr>
        <w:t>)</w:t>
      </w:r>
      <w:r w:rsidRPr="00DF4A85">
        <w:rPr>
          <w:rFonts w:cstheme="minorHAnsi"/>
        </w:rPr>
        <w:t xml:space="preserve"> имеется собственная водогрейная котельная, работающая на </w:t>
      </w:r>
      <w:r w:rsidR="003C27AF">
        <w:rPr>
          <w:rFonts w:cstheme="minorHAnsi"/>
        </w:rPr>
        <w:t>ПНГ</w:t>
      </w:r>
      <w:r w:rsidRPr="00DF4A85">
        <w:rPr>
          <w:rFonts w:cstheme="minorHAnsi"/>
        </w:rPr>
        <w:t>. Тип котлов – стальные водогрейные котлы марки ICI Caldaie REX-200, ICI Caldaie REX-300 и Термотехник ТТ50.</w:t>
      </w:r>
      <w:r w:rsidR="003C27AF">
        <w:rPr>
          <w:rFonts w:cstheme="minorHAnsi"/>
        </w:rPr>
        <w:t xml:space="preserve"> </w:t>
      </w:r>
      <w:r w:rsidRPr="00DF4A85">
        <w:rPr>
          <w:rFonts w:cstheme="minorHAnsi"/>
        </w:rPr>
        <w:t>Категория котельной по теплоснабжению – первая.</w:t>
      </w:r>
    </w:p>
    <w:p w:rsidR="008E034C" w:rsidRPr="00DF4A85" w:rsidRDefault="008E034C" w:rsidP="003C27AF">
      <w:pPr>
        <w:spacing w:after="120" w:line="240" w:lineRule="auto"/>
        <w:jc w:val="both"/>
        <w:rPr>
          <w:rFonts w:cstheme="minorHAnsi"/>
          <w:b/>
        </w:rPr>
      </w:pPr>
      <w:r w:rsidRPr="00DF4A85">
        <w:rPr>
          <w:rFonts w:cstheme="minorHAnsi"/>
        </w:rPr>
        <w:t>Отпуск и регулирование тепловой энергии потребителям осуществляется по количественному методу регулирования в зависимости от температуры наружного воздуха.</w:t>
      </w:r>
      <w:r w:rsidRPr="00DF4A85">
        <w:rPr>
          <w:rFonts w:cstheme="minorHAnsi"/>
          <w:b/>
        </w:rPr>
        <w:t xml:space="preserve"> </w:t>
      </w:r>
    </w:p>
    <w:p w:rsidR="008E034C" w:rsidRPr="00DF4A85" w:rsidRDefault="008E034C" w:rsidP="003C27AF">
      <w:pPr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</w:rPr>
        <w:t>Основной вид топлива – попутный нефтяной газ с теплотворной способностью 45</w:t>
      </w:r>
      <w:r w:rsidR="008F6FA0">
        <w:rPr>
          <w:rFonts w:cstheme="minorHAnsi"/>
        </w:rPr>
        <w:t xml:space="preserve"> </w:t>
      </w:r>
      <w:r w:rsidRPr="00DF4A85">
        <w:rPr>
          <w:rFonts w:cstheme="minorHAnsi"/>
        </w:rPr>
        <w:t>000 кДж/м</w:t>
      </w:r>
      <w:r w:rsidRPr="00DF4A85">
        <w:rPr>
          <w:rFonts w:cstheme="minorHAnsi"/>
          <w:vertAlign w:val="superscript"/>
        </w:rPr>
        <w:t>3</w:t>
      </w:r>
      <w:r w:rsidRPr="00DF4A85">
        <w:rPr>
          <w:rFonts w:cstheme="minorHAnsi"/>
        </w:rPr>
        <w:t xml:space="preserve">. </w:t>
      </w:r>
    </w:p>
    <w:p w:rsidR="008E034C" w:rsidRPr="00DF4A85" w:rsidRDefault="008E034C" w:rsidP="003C27AF">
      <w:pPr>
        <w:shd w:val="clear" w:color="auto" w:fill="FFFFFF"/>
        <w:spacing w:after="120" w:line="240" w:lineRule="auto"/>
        <w:jc w:val="both"/>
        <w:rPr>
          <w:rFonts w:cstheme="minorHAnsi"/>
        </w:rPr>
      </w:pPr>
      <w:r w:rsidRPr="00DF4A85">
        <w:rPr>
          <w:rFonts w:cstheme="minorHAnsi"/>
          <w:spacing w:val="-1"/>
        </w:rPr>
        <w:t>Котельные применяется в системе отопления закрытого типа. Параметры теплоносителя:</w:t>
      </w:r>
      <w:r w:rsidRPr="00DF4A85">
        <w:rPr>
          <w:rFonts w:cstheme="minorHAnsi"/>
          <w:color w:val="000000"/>
          <w:spacing w:val="5"/>
        </w:rPr>
        <w:t xml:space="preserve"> температура воды в подающей магистрали 95 °С, температура воды в обратной магистрали</w:t>
      </w:r>
      <w:r w:rsidRPr="00DF4A85">
        <w:rPr>
          <w:rFonts w:cstheme="minorHAnsi"/>
          <w:color w:val="000000"/>
          <w:spacing w:val="2"/>
        </w:rPr>
        <w:t xml:space="preserve"> 70</w:t>
      </w:r>
      <w:r w:rsidR="008F6FA0">
        <w:rPr>
          <w:rFonts w:cstheme="minorHAnsi"/>
          <w:color w:val="000000"/>
          <w:spacing w:val="2"/>
        </w:rPr>
        <w:t> </w:t>
      </w:r>
      <w:r w:rsidRPr="00DF4A85">
        <w:rPr>
          <w:rFonts w:cstheme="minorHAnsi"/>
          <w:color w:val="000000"/>
          <w:spacing w:val="2"/>
        </w:rPr>
        <w:t>°С. Потребность в тепловой энергии на горячее водоснабжение отсутствует.</w:t>
      </w:r>
    </w:p>
    <w:p w:rsidR="0079409C" w:rsidRPr="008E034C" w:rsidRDefault="008E034C" w:rsidP="008E034C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Таблица 1 - </w:t>
      </w:r>
      <w:r w:rsidR="00D670E8" w:rsidRPr="008E034C">
        <w:rPr>
          <w:rFonts w:cstheme="minorHAnsi"/>
          <w:b/>
        </w:rPr>
        <w:t>Установленная мощность потребителей электрической</w:t>
      </w:r>
      <w:r w:rsidR="007D7E22">
        <w:rPr>
          <w:rFonts w:cstheme="minorHAnsi"/>
          <w:b/>
        </w:rPr>
        <w:t xml:space="preserve"> и тепловой</w:t>
      </w:r>
      <w:r w:rsidR="00D670E8" w:rsidRPr="008E034C">
        <w:rPr>
          <w:rFonts w:cstheme="minorHAnsi"/>
          <w:b/>
        </w:rPr>
        <w:t xml:space="preserve"> энергии:</w:t>
      </w:r>
    </w:p>
    <w:tbl>
      <w:tblPr>
        <w:tblStyle w:val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1"/>
        <w:gridCol w:w="1783"/>
        <w:gridCol w:w="1800"/>
        <w:gridCol w:w="1480"/>
        <w:gridCol w:w="1332"/>
        <w:gridCol w:w="1219"/>
      </w:tblGrid>
      <w:tr w:rsidR="007D7E22" w:rsidRPr="00DF4A85" w:rsidTr="007D7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auto"/>
          </w:tcPr>
          <w:p w:rsidR="007D7E22" w:rsidRPr="00DF4A85" w:rsidRDefault="007D7E22" w:rsidP="00DF4A85">
            <w:pPr>
              <w:jc w:val="center"/>
              <w:rPr>
                <w:rFonts w:asciiTheme="minorHAnsi" w:eastAsia="Times New Roman" w:hAnsiTheme="minorHAnsi" w:cstheme="minorHAnsi"/>
                <w:bCs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Cs/>
                <w:lang w:eastAsia="ru-RU"/>
              </w:rPr>
              <w:t>Наименование объекта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7D7E22" w:rsidRPr="00DF4A85" w:rsidRDefault="007D7E22" w:rsidP="00DF4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Cs/>
                <w:lang w:eastAsia="ru-RU"/>
              </w:rPr>
              <w:t>Установленная мощность, МВт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7D7E22" w:rsidRPr="00DF4A85" w:rsidRDefault="007D7E22" w:rsidP="00DF4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lang w:eastAsia="ru-RU"/>
              </w:rPr>
            </w:pPr>
            <w:r w:rsidRPr="00DF4A85">
              <w:rPr>
                <w:rFonts w:asciiTheme="minorHAnsi" w:hAnsiTheme="minorHAnsi" w:cstheme="minorHAnsi"/>
                <w:bCs/>
                <w:color w:val="000000"/>
              </w:rPr>
              <w:t>Расчетная нагрузка на отопление и вентиляцию, Гкал/ч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7D7E22" w:rsidRPr="00DF4A85" w:rsidRDefault="007D7E22" w:rsidP="00DF4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Cs/>
                <w:lang w:eastAsia="ru-RU"/>
              </w:rPr>
              <w:t>Расстояние от центра нагрузок, км</w:t>
            </w:r>
          </w:p>
        </w:tc>
        <w:tc>
          <w:tcPr>
            <w:tcW w:w="0" w:type="auto"/>
            <w:gridSpan w:val="2"/>
          </w:tcPr>
          <w:p w:rsidR="007D7E22" w:rsidRPr="00DF4A85" w:rsidRDefault="007D7E22" w:rsidP="00DF4A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Cs/>
                <w:lang w:eastAsia="ru-RU"/>
              </w:rPr>
              <w:t>Загрузка электрооборудования, %</w:t>
            </w:r>
          </w:p>
        </w:tc>
      </w:tr>
      <w:tr w:rsidR="007D7E22" w:rsidRPr="00DF4A85" w:rsidTr="007D7E2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auto"/>
          </w:tcPr>
          <w:p w:rsidR="007D7E22" w:rsidRPr="00DF4A85" w:rsidRDefault="007D7E22" w:rsidP="00DF4A85">
            <w:pPr>
              <w:jc w:val="center"/>
              <w:rPr>
                <w:rFonts w:asciiTheme="minorHAnsi" w:eastAsia="Times New Roman" w:hAnsiTheme="minorHAnsi" w:cstheme="minorHAnsi"/>
                <w:bCs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7D7E22" w:rsidRPr="00DF4A85" w:rsidRDefault="007D7E22" w:rsidP="00DF4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:rsidR="007D7E22" w:rsidRPr="00DF4A85" w:rsidRDefault="007D7E22" w:rsidP="00DF4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lang w:eastAsia="ru-RU"/>
              </w:rPr>
            </w:pPr>
          </w:p>
        </w:tc>
        <w:tc>
          <w:tcPr>
            <w:tcW w:w="0" w:type="auto"/>
          </w:tcPr>
          <w:p w:rsidR="007D7E22" w:rsidRPr="00E03D5C" w:rsidRDefault="007D7E22" w:rsidP="00DF4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lang w:eastAsia="ru-RU"/>
              </w:rPr>
            </w:pPr>
            <w:r w:rsidRPr="00E03D5C">
              <w:rPr>
                <w:rFonts w:eastAsia="Times New Roman" w:cstheme="minorHAnsi"/>
                <w:b/>
                <w:bCs/>
                <w:sz w:val="20"/>
                <w:lang w:eastAsia="ru-RU"/>
              </w:rPr>
              <w:t>01 июня-01 октября</w:t>
            </w:r>
          </w:p>
        </w:tc>
        <w:tc>
          <w:tcPr>
            <w:tcW w:w="0" w:type="auto"/>
          </w:tcPr>
          <w:p w:rsidR="007D7E22" w:rsidRPr="00E03D5C" w:rsidRDefault="007D7E22" w:rsidP="00DF4A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0"/>
                <w:lang w:eastAsia="ru-RU"/>
              </w:rPr>
            </w:pPr>
            <w:r w:rsidRPr="00E03D5C">
              <w:rPr>
                <w:rFonts w:eastAsia="Times New Roman" w:cstheme="minorHAnsi"/>
                <w:b/>
                <w:bCs/>
                <w:sz w:val="20"/>
                <w:lang w:eastAsia="ru-RU"/>
              </w:rPr>
              <w:t>01 октября – 01 июня</w:t>
            </w:r>
          </w:p>
        </w:tc>
      </w:tr>
      <w:tr w:rsidR="007D7E22" w:rsidRPr="00DF4A85" w:rsidTr="004D46A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b w:val="0"/>
                <w:lang w:eastAsia="ru-RU"/>
              </w:rPr>
              <w:t>УКПГ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30,0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3,04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90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95</w:t>
            </w:r>
          </w:p>
        </w:tc>
      </w:tr>
      <w:tr w:rsidR="007D7E22" w:rsidRPr="00DF4A85" w:rsidTr="004D46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>
              <w:rPr>
                <w:rFonts w:asciiTheme="minorHAnsi" w:eastAsia="Times New Roman" w:hAnsiTheme="minorHAnsi" w:cstheme="minorHAnsi"/>
                <w:b w:val="0"/>
                <w:lang w:eastAsia="ru-RU"/>
              </w:rPr>
              <w:t>ОБП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9,0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0,64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3,0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80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90</w:t>
            </w:r>
          </w:p>
        </w:tc>
      </w:tr>
      <w:tr w:rsidR="007D7E22" w:rsidRPr="00DF4A85" w:rsidTr="004D46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ВЖК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2,0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0,35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3,50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4D46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ПЖК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3,0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2,58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4,0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4D46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ПСП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10,0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1,91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4D46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2,74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2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0,8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2,0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3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0,5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3,0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4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0,9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3,3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5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1,0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4,0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6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0,9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4,5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7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0,5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8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1,0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5,2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9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1,3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5,7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10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1,0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6,0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11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0,8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6,5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12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0,6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7,0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13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0,8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7,5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14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1,0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7,8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15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1,0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8,0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16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0,7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8,5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17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1,0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9,0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18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0,8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9,3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19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1,0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9,7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20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1,1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17,0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21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1,0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18,0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22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2,2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20,0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23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1,4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22,0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24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1,2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23,0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25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1,3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24,0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  <w:tr w:rsidR="007D7E22" w:rsidRPr="00DF4A85" w:rsidTr="007D7E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rPr>
                <w:rFonts w:asciiTheme="minorHAnsi" w:eastAsia="Times New Roman" w:hAnsiTheme="minorHAnsi" w:cstheme="minorHAnsi"/>
                <w:lang w:eastAsia="ru-RU"/>
              </w:rPr>
            </w:pPr>
            <w:r w:rsidRPr="00DF4A85">
              <w:rPr>
                <w:rFonts w:asciiTheme="minorHAnsi" w:eastAsia="Times New Roman" w:hAnsiTheme="minorHAnsi" w:cstheme="minorHAnsi"/>
                <w:b w:val="0"/>
                <w:lang w:eastAsia="ru-RU"/>
              </w:rPr>
              <w:t>Куст 26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1,5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25,0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50</w:t>
            </w:r>
          </w:p>
        </w:tc>
        <w:tc>
          <w:tcPr>
            <w:tcW w:w="0" w:type="auto"/>
          </w:tcPr>
          <w:p w:rsidR="007D7E22" w:rsidRPr="00DF4A85" w:rsidRDefault="007D7E22" w:rsidP="007D7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ru-RU"/>
              </w:rPr>
            </w:pPr>
            <w:r w:rsidRPr="00DF4A85">
              <w:rPr>
                <w:rFonts w:eastAsia="Times New Roman" w:cstheme="minorHAnsi"/>
                <w:lang w:eastAsia="ru-RU"/>
              </w:rPr>
              <w:t>100</w:t>
            </w:r>
          </w:p>
        </w:tc>
      </w:tr>
    </w:tbl>
    <w:p w:rsidR="0079409C" w:rsidRPr="00DF4A85" w:rsidRDefault="00D670E8" w:rsidP="00DF4A85">
      <w:pPr>
        <w:spacing w:after="0" w:line="240" w:lineRule="auto"/>
        <w:ind w:firstLine="709"/>
        <w:jc w:val="both"/>
        <w:rPr>
          <w:rFonts w:cstheme="minorHAnsi"/>
        </w:rPr>
      </w:pPr>
      <w:r w:rsidRPr="00DF4A85">
        <w:rPr>
          <w:rFonts w:cstheme="minorHAnsi"/>
        </w:rPr>
        <w:lastRenderedPageBreak/>
        <w:t>Себестоимость выработки тепловой энергии за счет утилизации тепла выхлопных газов принять равн</w:t>
      </w:r>
      <w:r w:rsidRPr="00DF4A85">
        <w:rPr>
          <w:rFonts w:cstheme="minorHAnsi"/>
          <w:highlight w:val="white"/>
        </w:rPr>
        <w:t>ой 4</w:t>
      </w:r>
      <w:r w:rsidR="008F6FA0">
        <w:rPr>
          <w:rFonts w:cstheme="minorHAnsi"/>
          <w:highlight w:val="white"/>
        </w:rPr>
        <w:t xml:space="preserve"> </w:t>
      </w:r>
      <w:r w:rsidRPr="00DF4A85">
        <w:rPr>
          <w:rFonts w:cstheme="minorHAnsi"/>
          <w:highlight w:val="white"/>
        </w:rPr>
        <w:t>000 руб./ГКа</w:t>
      </w:r>
      <w:r w:rsidRPr="00DF4A85">
        <w:rPr>
          <w:rFonts w:cstheme="minorHAnsi"/>
        </w:rPr>
        <w:t>лл.</w:t>
      </w:r>
    </w:p>
    <w:p w:rsidR="0079409C" w:rsidRDefault="00D670E8" w:rsidP="00DF4A85">
      <w:pPr>
        <w:spacing w:after="0" w:line="240" w:lineRule="auto"/>
        <w:ind w:firstLine="709"/>
        <w:jc w:val="both"/>
        <w:rPr>
          <w:rFonts w:cstheme="minorHAnsi"/>
        </w:rPr>
      </w:pPr>
      <w:r w:rsidRPr="00DF4A85">
        <w:rPr>
          <w:rFonts w:cstheme="minorHAnsi"/>
        </w:rPr>
        <w:t xml:space="preserve">Тепловые потери в проектируемых тепловых сетях (сети принять в надземном исполнении в изоляции из пенополиуретана) от ГТЭС до подключаемых объектов принять в соответствии с приказом от 30 декабря 2008 г. N 325 «Об утверждении порядка определения нормативов технологических потерь при передаче тепловой энергии, теплоносителя». Потери в местных (в границах УКПГ, ОБП, ВЖК, ПЖК, ПСП, ГТЭС) тепловых сетях не учитывать. </w:t>
      </w:r>
    </w:p>
    <w:p w:rsidR="00BC725C" w:rsidRDefault="00BC725C" w:rsidP="00DF4A85">
      <w:pPr>
        <w:spacing w:after="0" w:line="240" w:lineRule="auto"/>
        <w:ind w:firstLine="709"/>
        <w:jc w:val="both"/>
        <w:rPr>
          <w:rFonts w:cstheme="minorHAnsi"/>
        </w:rPr>
      </w:pPr>
    </w:p>
    <w:p w:rsidR="00BC725C" w:rsidRDefault="00BC725C" w:rsidP="00DF4A85">
      <w:pPr>
        <w:spacing w:after="0" w:line="240" w:lineRule="auto"/>
        <w:ind w:firstLine="709"/>
        <w:jc w:val="both"/>
        <w:rPr>
          <w:rFonts w:cstheme="minorHAnsi"/>
        </w:rPr>
      </w:pPr>
      <w:r w:rsidRPr="00BC725C">
        <w:rPr>
          <w:rFonts w:cstheme="minorHAnsi"/>
          <w:b/>
        </w:rPr>
        <w:t>За 24 часа до финала Хакатона</w:t>
      </w:r>
      <w:r>
        <w:rPr>
          <w:rFonts w:cstheme="minorHAnsi"/>
        </w:rPr>
        <w:t xml:space="preserve"> команды получат тестовые данные </w:t>
      </w:r>
    </w:p>
    <w:p w:rsidR="00BC725C" w:rsidRDefault="00BC725C" w:rsidP="00DF4A85">
      <w:pPr>
        <w:spacing w:after="0" w:line="24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>- по потреблению электроэнергии за 2022-2024 годы и плановое электропотребление на 2025 и 2026 г;</w:t>
      </w:r>
    </w:p>
    <w:p w:rsidR="00BC725C" w:rsidRDefault="00BC725C" w:rsidP="00DF4A85">
      <w:pPr>
        <w:spacing w:after="0" w:line="24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BA2710">
        <w:rPr>
          <w:rFonts w:cstheme="minorHAnsi"/>
        </w:rPr>
        <w:t xml:space="preserve">о </w:t>
      </w:r>
      <w:r>
        <w:rPr>
          <w:rFonts w:cstheme="minorHAnsi"/>
        </w:rPr>
        <w:t>наработке за сутки, общ</w:t>
      </w:r>
      <w:r w:rsidR="00BA2710">
        <w:rPr>
          <w:rFonts w:cstheme="minorHAnsi"/>
        </w:rPr>
        <w:t>ую</w:t>
      </w:r>
      <w:r>
        <w:rPr>
          <w:rFonts w:cstheme="minorHAnsi"/>
        </w:rPr>
        <w:t xml:space="preserve"> наработк</w:t>
      </w:r>
      <w:r w:rsidR="00BA2710">
        <w:rPr>
          <w:rFonts w:cstheme="minorHAnsi"/>
        </w:rPr>
        <w:t>у</w:t>
      </w:r>
      <w:r>
        <w:rPr>
          <w:rFonts w:cstheme="minorHAnsi"/>
        </w:rPr>
        <w:t>, наработк</w:t>
      </w:r>
      <w:r w:rsidR="00BA2710">
        <w:rPr>
          <w:rFonts w:cstheme="minorHAnsi"/>
        </w:rPr>
        <w:t>у</w:t>
      </w:r>
      <w:r>
        <w:rPr>
          <w:rFonts w:cstheme="minorHAnsi"/>
        </w:rPr>
        <w:t xml:space="preserve"> после КР по каждому агрегату ГТЭС на текущий момент;</w:t>
      </w:r>
    </w:p>
    <w:p w:rsidR="00BC725C" w:rsidRPr="00DF4A85" w:rsidRDefault="00BC725C" w:rsidP="00DF4A85">
      <w:pPr>
        <w:spacing w:after="0" w:line="240" w:lineRule="auto"/>
        <w:ind w:firstLine="709"/>
        <w:jc w:val="both"/>
        <w:rPr>
          <w:rFonts w:cstheme="minorHAnsi"/>
        </w:rPr>
      </w:pPr>
      <w:r>
        <w:rPr>
          <w:rFonts w:cstheme="minorHAnsi"/>
        </w:rPr>
        <w:t>- стоимость СОГ</w:t>
      </w:r>
      <w:r w:rsidR="00476D39">
        <w:rPr>
          <w:rFonts w:cstheme="minorHAnsi"/>
        </w:rPr>
        <w:t xml:space="preserve"> по мес</w:t>
      </w:r>
      <w:bookmarkStart w:id="0" w:name="_GoBack"/>
      <w:bookmarkEnd w:id="0"/>
      <w:r w:rsidR="00476D39">
        <w:rPr>
          <w:rFonts w:cstheme="minorHAnsi"/>
        </w:rPr>
        <w:t>яцам за 2024 г, и планируемая средняя стоимость на 2025 и 2026 г.</w:t>
      </w:r>
    </w:p>
    <w:p w:rsidR="0079409C" w:rsidRPr="00DF4A85" w:rsidRDefault="0079409C" w:rsidP="00DF4A85">
      <w:pPr>
        <w:spacing w:after="0" w:line="240" w:lineRule="auto"/>
        <w:ind w:firstLine="709"/>
        <w:jc w:val="both"/>
        <w:rPr>
          <w:rFonts w:cstheme="minorHAnsi"/>
        </w:rPr>
      </w:pPr>
    </w:p>
    <w:p w:rsidR="0079409C" w:rsidRPr="00DF4A85" w:rsidRDefault="0079409C" w:rsidP="00DF4A85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sectPr w:rsidR="0079409C" w:rsidRPr="00DF4A85" w:rsidSect="000F071C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005" w:rsidRDefault="00962005">
      <w:pPr>
        <w:spacing w:after="0" w:line="240" w:lineRule="auto"/>
      </w:pPr>
      <w:r>
        <w:separator/>
      </w:r>
    </w:p>
  </w:endnote>
  <w:endnote w:type="continuationSeparator" w:id="0">
    <w:p w:rsidR="00962005" w:rsidRDefault="0096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005" w:rsidRDefault="00962005">
      <w:pPr>
        <w:spacing w:after="0" w:line="240" w:lineRule="auto"/>
      </w:pPr>
      <w:r>
        <w:separator/>
      </w:r>
    </w:p>
  </w:footnote>
  <w:footnote w:type="continuationSeparator" w:id="0">
    <w:p w:rsidR="00962005" w:rsidRDefault="00962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A234B"/>
    <w:multiLevelType w:val="hybridMultilevel"/>
    <w:tmpl w:val="40E4003C"/>
    <w:lvl w:ilvl="0" w:tplc="6B7A7F9C">
      <w:start w:val="1"/>
      <w:numFmt w:val="bullet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18C0F3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1AF3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C8F0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508A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06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520F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4422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0376CD"/>
    <w:multiLevelType w:val="hybridMultilevel"/>
    <w:tmpl w:val="C3EA9B64"/>
    <w:lvl w:ilvl="0" w:tplc="B582DC38">
      <w:start w:val="1"/>
      <w:numFmt w:val="decimal"/>
      <w:lvlText w:val="%1."/>
      <w:lvlJc w:val="left"/>
      <w:pPr>
        <w:ind w:left="1210" w:hanging="360"/>
      </w:pPr>
      <w:rPr>
        <w:rFonts w:cs="Times New Roman" w:hint="default"/>
      </w:rPr>
    </w:lvl>
    <w:lvl w:ilvl="1" w:tplc="EF9CF832">
      <w:start w:val="1"/>
      <w:numFmt w:val="lowerLetter"/>
      <w:lvlText w:val="%2."/>
      <w:lvlJc w:val="left"/>
      <w:pPr>
        <w:ind w:left="1865" w:hanging="360"/>
      </w:pPr>
    </w:lvl>
    <w:lvl w:ilvl="2" w:tplc="25569AD2">
      <w:start w:val="1"/>
      <w:numFmt w:val="lowerRoman"/>
      <w:lvlText w:val="%3."/>
      <w:lvlJc w:val="right"/>
      <w:pPr>
        <w:ind w:left="2585" w:hanging="180"/>
      </w:pPr>
    </w:lvl>
    <w:lvl w:ilvl="3" w:tplc="FA206ADC">
      <w:start w:val="1"/>
      <w:numFmt w:val="decimal"/>
      <w:lvlText w:val="%4."/>
      <w:lvlJc w:val="left"/>
      <w:pPr>
        <w:ind w:left="3305" w:hanging="360"/>
      </w:pPr>
    </w:lvl>
    <w:lvl w:ilvl="4" w:tplc="DAA80A18">
      <w:start w:val="1"/>
      <w:numFmt w:val="lowerLetter"/>
      <w:lvlText w:val="%5."/>
      <w:lvlJc w:val="left"/>
      <w:pPr>
        <w:ind w:left="4025" w:hanging="360"/>
      </w:pPr>
    </w:lvl>
    <w:lvl w:ilvl="5" w:tplc="BBA2D992">
      <w:start w:val="1"/>
      <w:numFmt w:val="lowerRoman"/>
      <w:lvlText w:val="%6."/>
      <w:lvlJc w:val="right"/>
      <w:pPr>
        <w:ind w:left="4745" w:hanging="180"/>
      </w:pPr>
    </w:lvl>
    <w:lvl w:ilvl="6" w:tplc="606C79A2">
      <w:start w:val="1"/>
      <w:numFmt w:val="decimal"/>
      <w:lvlText w:val="%7."/>
      <w:lvlJc w:val="left"/>
      <w:pPr>
        <w:ind w:left="5465" w:hanging="360"/>
      </w:pPr>
    </w:lvl>
    <w:lvl w:ilvl="7" w:tplc="BC8CBFDC">
      <w:start w:val="1"/>
      <w:numFmt w:val="lowerLetter"/>
      <w:lvlText w:val="%8."/>
      <w:lvlJc w:val="left"/>
      <w:pPr>
        <w:ind w:left="6185" w:hanging="360"/>
      </w:pPr>
    </w:lvl>
    <w:lvl w:ilvl="8" w:tplc="11E01C16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6F06126C"/>
    <w:multiLevelType w:val="hybridMultilevel"/>
    <w:tmpl w:val="CB96B30A"/>
    <w:lvl w:ilvl="0" w:tplc="3DF8A136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sz w:val="24"/>
        <w:szCs w:val="24"/>
        <w:lang w:val="ru-RU" w:eastAsia="en-US" w:bidi="ar-SA"/>
      </w:rPr>
    </w:lvl>
    <w:lvl w:ilvl="1" w:tplc="1062C5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B6A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E4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C1D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CEE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E8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43C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3C2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B2B9E"/>
    <w:multiLevelType w:val="hybridMultilevel"/>
    <w:tmpl w:val="1304F59C"/>
    <w:lvl w:ilvl="0" w:tplc="F6FCD174">
      <w:start w:val="1"/>
      <w:numFmt w:val="decimal"/>
      <w:lvlText w:val="%1."/>
      <w:lvlJc w:val="left"/>
      <w:pPr>
        <w:ind w:left="1428" w:hanging="360"/>
      </w:pPr>
    </w:lvl>
    <w:lvl w:ilvl="1" w:tplc="CBAC1E3A">
      <w:start w:val="1"/>
      <w:numFmt w:val="lowerLetter"/>
      <w:lvlText w:val="%2."/>
      <w:lvlJc w:val="left"/>
      <w:pPr>
        <w:ind w:left="2148" w:hanging="360"/>
      </w:pPr>
    </w:lvl>
    <w:lvl w:ilvl="2" w:tplc="E3E2DC84">
      <w:start w:val="1"/>
      <w:numFmt w:val="lowerRoman"/>
      <w:lvlText w:val="%3."/>
      <w:lvlJc w:val="right"/>
      <w:pPr>
        <w:ind w:left="2868" w:hanging="180"/>
      </w:pPr>
    </w:lvl>
    <w:lvl w:ilvl="3" w:tplc="754ED66A">
      <w:start w:val="1"/>
      <w:numFmt w:val="decimal"/>
      <w:lvlText w:val="%4."/>
      <w:lvlJc w:val="left"/>
      <w:pPr>
        <w:ind w:left="3588" w:hanging="360"/>
      </w:pPr>
    </w:lvl>
    <w:lvl w:ilvl="4" w:tplc="217E47E0">
      <w:start w:val="1"/>
      <w:numFmt w:val="lowerLetter"/>
      <w:lvlText w:val="%5."/>
      <w:lvlJc w:val="left"/>
      <w:pPr>
        <w:ind w:left="4308" w:hanging="360"/>
      </w:pPr>
    </w:lvl>
    <w:lvl w:ilvl="5" w:tplc="D9820A16">
      <w:start w:val="1"/>
      <w:numFmt w:val="lowerRoman"/>
      <w:lvlText w:val="%6."/>
      <w:lvlJc w:val="right"/>
      <w:pPr>
        <w:ind w:left="5028" w:hanging="180"/>
      </w:pPr>
    </w:lvl>
    <w:lvl w:ilvl="6" w:tplc="4C549294">
      <w:start w:val="1"/>
      <w:numFmt w:val="decimal"/>
      <w:lvlText w:val="%7."/>
      <w:lvlJc w:val="left"/>
      <w:pPr>
        <w:ind w:left="5748" w:hanging="360"/>
      </w:pPr>
    </w:lvl>
    <w:lvl w:ilvl="7" w:tplc="BDE0D95A">
      <w:start w:val="1"/>
      <w:numFmt w:val="lowerLetter"/>
      <w:lvlText w:val="%8."/>
      <w:lvlJc w:val="left"/>
      <w:pPr>
        <w:ind w:left="6468" w:hanging="360"/>
      </w:pPr>
    </w:lvl>
    <w:lvl w:ilvl="8" w:tplc="EE409D42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DA27DEF"/>
    <w:multiLevelType w:val="hybridMultilevel"/>
    <w:tmpl w:val="349CCE20"/>
    <w:lvl w:ilvl="0" w:tplc="42ECB898">
      <w:start w:val="1"/>
      <w:numFmt w:val="decimal"/>
      <w:lvlText w:val="%1."/>
      <w:lvlJc w:val="left"/>
      <w:pPr>
        <w:ind w:left="1713" w:hanging="360"/>
      </w:pPr>
    </w:lvl>
    <w:lvl w:ilvl="1" w:tplc="19ECCB24">
      <w:start w:val="1"/>
      <w:numFmt w:val="lowerLetter"/>
      <w:lvlText w:val="%2."/>
      <w:lvlJc w:val="left"/>
      <w:pPr>
        <w:ind w:left="2433" w:hanging="360"/>
      </w:pPr>
    </w:lvl>
    <w:lvl w:ilvl="2" w:tplc="BA2A685E">
      <w:start w:val="1"/>
      <w:numFmt w:val="lowerRoman"/>
      <w:lvlText w:val="%3."/>
      <w:lvlJc w:val="right"/>
      <w:pPr>
        <w:ind w:left="3153" w:hanging="180"/>
      </w:pPr>
    </w:lvl>
    <w:lvl w:ilvl="3" w:tplc="73EA66C6">
      <w:start w:val="1"/>
      <w:numFmt w:val="decimal"/>
      <w:lvlText w:val="%4."/>
      <w:lvlJc w:val="left"/>
      <w:pPr>
        <w:ind w:left="3873" w:hanging="360"/>
      </w:pPr>
    </w:lvl>
    <w:lvl w:ilvl="4" w:tplc="243EEA58">
      <w:start w:val="1"/>
      <w:numFmt w:val="lowerLetter"/>
      <w:lvlText w:val="%5."/>
      <w:lvlJc w:val="left"/>
      <w:pPr>
        <w:ind w:left="4593" w:hanging="360"/>
      </w:pPr>
    </w:lvl>
    <w:lvl w:ilvl="5" w:tplc="D9D2DE2A">
      <w:start w:val="1"/>
      <w:numFmt w:val="lowerRoman"/>
      <w:lvlText w:val="%6."/>
      <w:lvlJc w:val="right"/>
      <w:pPr>
        <w:ind w:left="5313" w:hanging="180"/>
      </w:pPr>
    </w:lvl>
    <w:lvl w:ilvl="6" w:tplc="96E68CA6">
      <w:start w:val="1"/>
      <w:numFmt w:val="decimal"/>
      <w:lvlText w:val="%7."/>
      <w:lvlJc w:val="left"/>
      <w:pPr>
        <w:ind w:left="6033" w:hanging="360"/>
      </w:pPr>
    </w:lvl>
    <w:lvl w:ilvl="7" w:tplc="5D829E82">
      <w:start w:val="1"/>
      <w:numFmt w:val="lowerLetter"/>
      <w:lvlText w:val="%8."/>
      <w:lvlJc w:val="left"/>
      <w:pPr>
        <w:ind w:left="6753" w:hanging="360"/>
      </w:pPr>
    </w:lvl>
    <w:lvl w:ilvl="8" w:tplc="778A4E5A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9C"/>
    <w:rsid w:val="000D668E"/>
    <w:rsid w:val="000F071C"/>
    <w:rsid w:val="00112C50"/>
    <w:rsid w:val="001877DC"/>
    <w:rsid w:val="003040D0"/>
    <w:rsid w:val="003C27AF"/>
    <w:rsid w:val="00476D39"/>
    <w:rsid w:val="005D605C"/>
    <w:rsid w:val="006024C7"/>
    <w:rsid w:val="006F3EE9"/>
    <w:rsid w:val="0079409C"/>
    <w:rsid w:val="007D7E22"/>
    <w:rsid w:val="008B04E5"/>
    <w:rsid w:val="008E034C"/>
    <w:rsid w:val="008F6FA0"/>
    <w:rsid w:val="009364D8"/>
    <w:rsid w:val="00962005"/>
    <w:rsid w:val="009958A2"/>
    <w:rsid w:val="00A71407"/>
    <w:rsid w:val="00BA2710"/>
    <w:rsid w:val="00BC725C"/>
    <w:rsid w:val="00C95660"/>
    <w:rsid w:val="00D66B1F"/>
    <w:rsid w:val="00D670E8"/>
    <w:rsid w:val="00DF4A85"/>
    <w:rsid w:val="00E0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AD06CA-5DF0-4D3A-A8F3-E30C06B8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0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e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  <w:pPr>
      <w:spacing w:after="0"/>
    </w:pPr>
  </w:style>
  <w:style w:type="character" w:styleId="af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Pr>
      <w:rFonts w:ascii="Tahoma" w:hAnsi="Tahoma" w:cs="Tahoma"/>
      <w:sz w:val="16"/>
      <w:szCs w:val="16"/>
    </w:rPr>
  </w:style>
  <w:style w:type="paragraph" w:styleId="aff2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pPr>
      <w:widowControl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ff3">
    <w:name w:val="Новый абзац"/>
    <w:basedOn w:val="a"/>
    <w:link w:val="25"/>
    <w:qFormat/>
    <w:pPr>
      <w:spacing w:after="120" w:line="240" w:lineRule="auto"/>
      <w:ind w:firstLine="567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25">
    <w:name w:val="Новый абзац Знак2"/>
    <w:link w:val="aff3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-">
    <w:name w:val="Маркер [-]"/>
    <w:basedOn w:val="a"/>
    <w:link w:val="-0"/>
    <w:qFormat/>
    <w:pPr>
      <w:spacing w:after="12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-0">
    <w:name w:val="Маркер [-] Знак"/>
    <w:link w:val="-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f4">
    <w:name w:val="Новый абзац Знак"/>
    <w:rPr>
      <w:rFonts w:ascii="Arial" w:hAnsi="Arial"/>
      <w:sz w:val="24"/>
    </w:rPr>
  </w:style>
  <w:style w:type="character" w:customStyle="1" w:styleId="a4">
    <w:name w:val="Абзац списка Знак"/>
    <w:link w:val="a3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F%D0%BC%D0%B0%D0%BB%D1%8C%D1%81%D0%BA%D0%B8%D0%B9_%D1%80%D0%B0%D0%B9%D0%BE%D0%B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F%D0%BC%D0%B0%D0%BB" TargetMode="External"/><Relationship Id="rId12" Type="http://schemas.openxmlformats.org/officeDocument/2006/relationships/hyperlink" Target="https://ru.wikipedia.org/wiki/%D0%A1%D0%B5%D0%B2%D0%B5%D1%80%D0%BD%D1%8B%D0%B9_%D0%BC%D0%BE%D1%80%D1%81%D0%BA%D0%BE%D0%B9_%D0%BF%D1%83%D1%82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1%D1%81%D0%BA%D0%B0%D1%8F_%D0%B3%D1%83%D0%B1%D0%B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A1%D0%B0%D0%BB%D0%B5%D1%85%D0%B0%D1%80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C%D0%B0%D0%BB%D0%BE-%D0%9D%D0%B5%D0%BD%D0%B5%D1%86%D0%BA%D0%B8%D0%B9_%D0%B0%D0%B2%D1%82%D0%BE%D0%BD%D0%BE%D0%BC%D0%BD%D1%8B%D0%B9_%D0%BE%D0%BA%D1%80%D1%83%D0%B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TIU</Company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Александр Владимирович</dc:creator>
  <cp:keywords/>
  <dc:description/>
  <cp:lastModifiedBy>Хмара Гузель Азатовна</cp:lastModifiedBy>
  <cp:revision>19</cp:revision>
  <dcterms:created xsi:type="dcterms:W3CDTF">2025-02-21T11:58:00Z</dcterms:created>
  <dcterms:modified xsi:type="dcterms:W3CDTF">2025-03-21T13:19:00Z</dcterms:modified>
</cp:coreProperties>
</file>