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footnotes.xml" ContentType="application/vnd.openxmlformats-officedocument.wordprocessingml.footnotes+xml"/>
  <ns0:Override PartName="/word/media/rId10.png" ContentType="image/png"/>
  <ns0:Override PartName="/word/media/rId59.png" ContentType="image/png"/>
  <ns0:Override PartName="/word/media/rId25.png" ContentType="image/png"/>
  <ns0:Override PartName="/word/media/rId46.png" ContentType="image/png"/>
  <ns0:Override PartName="/word/media/rId42.png" ContentType="image/png"/>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ns0:body>
    <ns0:p>
      <ns0:pPr>
        <ns0:pStyle ns0:val="aa"/>
      </ns0:pPr>
      <ns0:r>
        <ns0:t xml:space="preserve">Three Margins of Electricity Recovery</ns0:t>
      </ns0:r>
    </ns0:p>
    <ns0:p>
      <ns0:pPr>
        <ns0:pStyle ns0:val="ac"/>
      </ns0:pPr>
      <ns0:r>
        <ns0:t xml:space="preserve">Coverage, Reported Entry, and Generator Sizing in Japan’s Municipal Incinerator Fleet, FY2005-FY2024</ns0:t>
      </ns0:r>
    </ns0:p>
    <ns0:p>
      <ns0:pPr>
        <ns0:pStyle ns0:val="Date"/>
      </ns0:pPr>
      <ns0:r>
        <ns0:t xml:space="preserve">19 July 2026</ns0:t>
      </ns0:r>
    </ns0:p>
    <ns0:sdt>
      <ns0:sdtPr>
        <ns0:docPartObj>
          <ns0:docPartGallery ns0:val="Table of Contents"/>
          <ns0:docPartUnique/>
        </ns0:docPartObj>
      </ns0:sdtPr>
      <ns0:sdtContent>
        <ns0:p>
          <ns0:pPr>
            <ns0:pStyle ns0:val="TOC"/>
          </ns0:pPr>
          <ns0:r>
            <ns0:t xml:space="preserve">Table of Contents</ns0:t>
          </ns0:r>
        </ns0:p>
        <ns0:p>
          <ns0:r>
            <ns0:fldChar ns0:fldCharType="begin" ns0:dirty="true"/>
            <ns0:instrText xml:space="preserve">TOC \o "1-3" \h \z \u</ns0:instrText>
            <ns0:fldChar ns0:fldCharType="separate"/>
            <ns0:fldChar ns0:fldCharType="end"/>
          </ns0:r>
        </ns0:p>
      </ns0:sdtContent>
    </ns0:sdt>
    <ns0:bookmarkStart ns0:id="9" ns0:name="abstract"/>
    <ns0:p>
      <ns0:pPr>
        <ns0:pStyle ns0:val="1"/>
      </ns0:pPr>
      <ns0:r>
        <ns0:t xml:space="preserve">Abstract</ns0:t>
      </ns0:r>
    </ns0:p>
    <ns0:p>
      <ns0:pPr>
        <ns0:pStyle ns0:val="FirstParagraph"/>
      </ns0:pPr>
      <ns0:r>
        <ns0:t xml:space="preserve">Facility counts can misdiagnose electricity recovery when they collapse fleet</ns0:t>
      </ns0:r>
      <ns0:r>
        <ns0:t xml:space="preserve"> </ns0:t>
      </ns0:r>
      <ns0:r>
        <ns0:t xml:space="preserve">coverage, entry, and engineering performance into one statistic. This thesis</ns0:t>
      </ns0:r>
      <ns0:r>
        <ns0:t xml:space="preserve"> </ns0:t>
      </ns0:r>
      <ns0:r>
        <ns0:t xml:space="preserve">deterministically links 23,593 Japanese municipal-incinerator records from</ns0:t>
      </ns0:r>
      <ns0:r>
        <ns0:t xml:space="preserve"> </ns0:t>
      </ns0:r>
      <ns0:r>
        <ns0:t xml:space="preserve">fiscal year (FY) 2005 to FY2024 into 1,690 stable administrative lineages and</ns0:t>
      </ns0:r>
      <ns0:r>
        <ns0:t xml:space="preserve"> </ns0:t>
      </ns0:r>
      <ns0:r>
        <ns0:t xml:space="preserve">1,767 reported asset episodes. In FY2024, 41.1%</ns0:t>
      </ns0:r>
      <ns0:r>
        <ns0:t xml:space="preserve"> </ns0:t>
      </ns0:r>
      <ns0:r>
        <ns0:t xml:space="preserve">of all records reported installed electrical capacity, but positive-output</ns0:t>
      </ns0:r>
      <ns0:r>
        <ns0:t xml:space="preserve"> </ns0:t>
      </ns0:r>
      <ns0:r>
        <ns0:t xml:space="preserve">facilities handled 80.1% of recorded waste throughput. Facilities reporting</ns0:t>
      </ns0:r>
      <ns0:r>
        <ns0:t xml:space="preserve"> </ns0:t>
      </ns0:r>
      <ns0:r>
        <ns0:t xml:space="preserve">installed capacity represented 70.5% of processing design capacity. The</ns0:t>
      </ns0:r>
      <ns0:r>
        <ns0:t xml:space="preserve"> </ns0:t>
      </ns0:r>
      <ns0:r>
        <ns0:t xml:space="preserve">all-record installed-capacity share rose by 19.5 percentage points from FY2005,</ns0:t>
      </ns0:r>
      <ns0:r>
        <ns0:t xml:space="preserve"> </ns0:t>
      </ns0:r>
      <ns0:r>
        <ns0:t xml:space="preserve">whereas the rise was 2.2 points among 732 lineages observed at both endpoints.</ns0:t>
      </ns0:r>
      <ns0:r>
        <ns0:t xml:space="preserve"> </ns0:t>
      </ns0:r>
      <ns0:r>
        <ns0:t xml:space="preserve">This contrast is consistent with a substantial contribution from changing</ns0:t>
      </ns0:r>
      <ns0:r>
        <ns0:t xml:space="preserve"> </ns0:t>
      </ns0:r>
      <ns0:r>
        <ns0:t xml:space="preserve">fleet composition. First reported capacity entry was rare: the primary</ns0:t>
      </ns0:r>
      <ns0:r>
        <ns0:t xml:space="preserve"> </ns0:t>
      </ns0:r>
      <ns0:r>
        <ns0:t xml:space="preserve">discrete-time model contained 35 events. At support-rich capacities of 24, 60,</ns0:t>
      </ns0:r>
      <ns0:r>
        <ns0:t xml:space="preserve"> </ns0:t>
      </ns0:r>
      <ns0:r>
        <ns0:t xml:space="preserve">and 120 tonnes per day, standardized annual risks were 0.68, 1.37, and 3.29</ns0:t>
      </ns0:r>
      <ns0:r>
        <ns0:t xml:space="preserve"> </ns0:t>
      </ns0:r>
      <ns0:r>
        <ns0:t xml:space="preserve">entries per 1,000 facility-years. A five-parameter Firth model gave a</ns0:t>
      </ns0:r>
      <ns0:r>
        <ns0:t xml:space="preserve"> </ns0:t>
      </ns0:r>
      <ns0:r>
        <ns0:t xml:space="preserve">300-versus-100 tonnes-per-day odds ratio of 6.72 (1,999-lineage-bootstrap 95%</ns0:t>
      </ns0:r>
      <ns0:r>
        <ns0:t xml:space="preserve"> </ns0:t>
      </ns0:r>
      <ns0:r>
        <ns0:t xml:space="preserve">confidence interval: 4.31-12.46), although 300 tonnes per day was a thinly</ns0:t>
      </ns0:r>
      <ns0:r>
        <ns0:t xml:space="preserve"> </ns0:t>
      </ns0:r>
      <ns0:r>
        <ns0:t xml:space="preserve">supported tail value. The positive scale association survived continuity,</ns0:t>
      </ns0:r>
      <ns0:r>
        <ns0:t xml:space="preserve"> </ns0:t>
      </ns0:r>
      <ns0:r>
        <ns0:t xml:space="preserve">functional-form, reporting-state, leave-one-prefecture influence, and</ns0:t>
      </ns0:r>
      <ns0:r>
        <ns0:t xml:space="preserve"> </ns0:t>
      </ns0:r>
      <ns0:r>
        <ns0:t xml:space="preserve">event-influence checks. Among 6,511 engineering-valid generator-years from 493 lineages,</ns0:t>
      </ns0:r>
      <ns0:r>
        <ns0:t xml:space="preserve"> </ns0:t>
      </ns0:r>
      <ns0:r>
        <ns0:t xml:space="preserve">adjusted installed capacity was 79.1%, 58.6%, and 23.5% lower in pre-1990,</ns0:t>
      </ns0:r>
      <ns0:r>
        <ns0:t xml:space="preserve"> </ns0:t>
      </ns0:r>
      <ns0:r>
        <ns0:t xml:space="preserve">1990s, and 2000s start-year cohorts than in the 2010-or-later cohort.</ns0:t>
      </ns0:r>
      <ns0:r>
        <ns0:t xml:space="preserve"> </ns0:t>
      </ns0:r>
      <ns0:r>
        <ns0:t xml:space="preserve">Administrative annual capacity-factor proxies were not uniformly lower in</ns0:t>
      </ns0:r>
      <ns0:r>
        <ns0:t xml:space="preserve"> </ns0:t>
      </ns0:r>
      <ns0:r>
        <ns0:t xml:space="preserve">older cohorts. Under common controls,</ns0:t>
      </ns0:r>
      <ns0:r>
        <ns0:t xml:space="preserve"> </ns0:t>
      </ns0:r>
      <ns0:r>
        <ns0:t xml:space="preserve">installed sizing was the largest absolute point-estimate accounting component</ns0:t>
      </ns0:r>
      <ns0:r>
        <ns0:t xml:space="preserve"> </ns0:t>
      </ns0:r>
      <ns0:r>
        <ns0:t xml:space="preserve">of each older cohort’s log gross-generation-intensity gap. The exact component</ns0:t>
      </ns0:r>
      <ns0:r>
        <ns0:t xml:space="preserve"> </ns0:t>
      </ns0:r>
      <ns0:r>
        <ns0:t xml:space="preserve">sum is an identity, not independent causal evidence. The contribution is a</ns0:t>
      </ns0:r>
      <ns0:r>
        <ns0:t xml:space="preserve"> </ns0:t>
      </ns0:r>
      <ns0:r>
        <ns0:t xml:space="preserve">three-margin national diagnosis; it does not identify physical projects,</ns0:t>
      </ns0:r>
      <ns0:r>
        <ns0:t xml:space="preserve"> </ns0:t>
      </ns0:r>
      <ns0:r>
        <ns0:t xml:space="preserve">recoverable potential, or causal effects. Independent clerical review of the</ns0:t>
      </ns0:r>
      <ns0:r>
        <ns0:t xml:space="preserve"> </ns0:t>
      </ns0:r>
      <ns0:r>
        <ns0:t xml:space="preserve">highest-risk lineage links remains an outstanding validation step.</ns0:t>
      </ns0:r>
    </ns0:p>
    <ns0:p>
      <ns0:pPr>
        <ns0:pStyle ns0:val="af"/>
      </ns0:pPr>
      <ns0:r>
        <ns0:rPr>
          <ns0:b/>
          <ns0:bCs/>
        </ns0:rPr>
        <ns0:t xml:space="preserve">Keywords:</ns0:t>
      </ns0:r>
      <ns0:r>
        <ns0:t xml:space="preserve"> </ns0:t>
      </ns0:r>
      <ns0:r>
        <ns0:t xml:space="preserve">municipal solid waste; incineration; waste-to-energy; Japan;</ns0:t>
      </ns0:r>
      <ns0:r>
        <ns0:t xml:space="preserve"> </ns0:t>
      </ns0:r>
      <ns0:r>
        <ns0:t xml:space="preserve">generator sizing; capacity factor</ns0:t>
      </ns0:r>
    </ns0:p>
    <ns0:bookmarkEnd ns0:id="9"/>
    <ns0:bookmarkStart ns0:id="15" ns0:name="introduction"/>
    <ns0:p>
      <ns0:pPr>
        <ns0:pStyle ns0:val="1"/>
      </ns0:pPr>
      <ns0:r>
        <ns0:t xml:space="preserve">1. Introduction</ns0:t>
      </ns0:r>
    </ns0:p>
    <ns0:p>
      <ns0:pPr>
        <ns0:pStyle ns0:val="FirstParagraph"/>
      </ns0:pPr>
      <ns0:r>
        <ns0:t xml:space="preserve">Japan’s municipal waste system relies extensively on incineration for volume</ns0:t>
      </ns0:r>
      <ns0:r>
        <ns0:t xml:space="preserve"> </ns0:t>
      </ns0:r>
      <ns0:r>
        <ns0:t xml:space="preserve">reduction and hygienic treatment. Electricity recovery can use part of the heat</ns0:t>
      </ns0:r>
      <ns0:r>
        <ns0:t xml:space="preserve"> </ns0:t>
      </ns0:r>
      <ns0:r>
        <ns0:t xml:space="preserve">released during combustion, but it does not by itself make incineration</ns0:t>
      </ns0:r>
      <ns0:r>
        <ns0:t xml:space="preserve"> </ns0:t>
      </ns0:r>
      <ns0:r>
        <ns0:t xml:space="preserve">preferable to prevention, reuse, or recycling. Its value depends on plant</ns0:t>
      </ns0:r>
      <ns0:r>
        <ns0:t xml:space="preserve"> </ns0:t>
      </ns0:r>
      <ns0:r>
        <ns0:t xml:space="preserve">design, waste properties, energy use, and the wider waste and electricity</ns0:t>
      </ns0:r>
      <ns0:r>
        <ns0:t xml:space="preserve"> </ns0:t>
      </ns0:r>
      <ns0:r>
        <ns0:t xml:space="preserve">systems (Astrup et al., 2009, 2015; Brunner &amp; Rechberger, 2015; European</ns0:t>
      </ns0:r>
      <ns0:r>
        <ns0:t xml:space="preserve"> </ns0:t>
      </ns0:r>
      <ns0:r>
        <ns0:t xml:space="preserve">Commission, 2017). Japan-specific work likewise extends beyond a binary label</ns0:t>
      </ns0:r>
      <ns0:r>
        <ns0:t xml:space="preserve"> </ns0:t>
      </ns0:r>
      <ns0:r>
        <ns0:t xml:space="preserve">of whether a plant generates electricity (Uno, 2015; Tabata &amp; Tsai, 2016;</ns0:t>
      </ns0:r>
      <ns0:r>
        <ns0:t xml:space="preserve"> </ns0:t>
      </ns0:r>
      <ns0:r>
        <ns0:t xml:space="preserve">Yamada et al., 2023).</ns0:t>
      </ns0:r>
    </ns0:p>
    <ns0:p>
      <ns0:pPr>
        <ns0:pStyle ns0:val="af"/>
      </ns0:pPr>
      <ns0:r>
        <ns0:t xml:space="preserve">The Ministry’s FY2024 national summary reports 415 electricity-generating</ns0:t>
      </ns0:r>
      <ns0:r>
        <ns0:t xml:space="preserve"> </ns0:t>
      </ns0:r>
      <ns0:r>
        <ns0:t xml:space="preserve">facilities among 991 incineration facilities, or 41.9% (Ministry of the</ns0:t>
      </ns0:r>
      <ns0:r>
        <ns0:t xml:space="preserve"> </ns0:t>
      </ns0:r>
      <ns0:r>
        <ns0:t xml:space="preserve">Environment Japan, 2026). That published context is distinct from this thesis’s</ns0:t>
      </ns0:r>
      <ns0:r>
        <ns0:t xml:space="preserve"> </ns0:t>
      </ns0:r>
      <ns0:r>
        <ns0:t xml:space="preserve">analytical measure: 417 of 1,014 retained FY2024 facility records report</ns0:t>
      </ns0:r>
      <ns0:r>
        <ns0:t xml:space="preserve"> </ns0:t>
      </ns0:r>
      <ns0:r>
        <ns0:t xml:space="preserve">positive installed electrical capacity, or 41.1%. The numerator definition and</ns0:t>
      </ns0:r>
      <ns0:r>
        <ns0:t xml:space="preserve"> </ns0:t>
      </ns0:r>
      <ns0:r>
        <ns0:t xml:space="preserve">record denominator differ, so the official ratio is not substituted into the</ns0:t>
      </ns0:r>
      <ns0:r>
        <ns0:t xml:space="preserve"> </ns0:t>
      </ns0:r>
      <ns0:r>
        <ns0:t xml:space="preserve">analytical calculations.</ns0:t>
      </ns0:r>
    </ns0:p>
    <ns0:p>
      <ns0:pPr>
        <ns0:pStyle ns0:val="af"/>
      </ns0:pPr>
      <ns0:r>
        <ns0:t xml:space="preserve">The most visible national statistic is often a facility count. Yet a small</ns0:t>
      </ns0:r>
      <ns0:r>
        <ns0:t xml:space="preserve"> </ns0:t>
      </ns0:r>
      <ns0:r>
        <ns0:t xml:space="preserve">intermittent facility and a large continuous facility each contribute one unit,</ns0:t>
      </ns0:r>
      <ns0:r>
        <ns0:t xml:space="preserve"> </ns0:t>
      </ns0:r>
      <ns0:r>
        <ns0:t xml:space="preserve">despite handling different waste volumes. A count describes how widely</ns0:t>
      </ns0:r>
      <ns0:r>
        <ns0:t xml:space="preserve"> </ns0:t>
      </ns0:r>
      <ns0:r>
        <ns0:t xml:space="preserve">equipment appears across records, not how much waste passes through generating</ns0:t>
      </ns0:r>
      <ns0:r>
        <ns0:t xml:space="preserve"> </ns0:t>
      </ns0:r>
      <ns0:r>
        <ns0:t xml:space="preserve">facilities or where processing capacity is located. Those are distinct coverage</ns0:t>
      </ns0:r>
      <ns0:r>
        <ns0:t xml:space="preserve"> </ns0:t>
      </ns0:r>
      <ns0:r>
        <ns0:t xml:space="preserve">questions.</ns0:t>
      </ns0:r>
    </ns0:p>
    <ns0:p>
      <ns0:pPr>
        <ns0:pStyle ns0:val="af"/>
      </ns0:pPr>
      <ns0:r>
        <ns0:t xml:space="preserve">A second problem arises in facility histories. First reporting of installed</ns0:t>
      </ns0:r>
      <ns0:r>
        <ns0:t xml:space="preserve"> </ns0:t>
      </ns0:r>
      <ns0:r>
        <ns0:t xml:space="preserve">capacity is uncommon and can occur within an administratively continuous</ns0:t>
      </ns0:r>
      <ns0:r>
        <ns0:t xml:space="preserve"> </ns0:t>
      </ns0:r>
      <ns0:r>
        <ns0:t xml:space="preserve">facility, with a reported asset reset, or in a forward-dated record. These cases</ns0:t>
      </ns0:r>
      <ns0:r>
        <ns0:t xml:space="preserve"> </ns0:t>
      </ns0:r>
      <ns0:r>
        <ns0:t xml:space="preserve">do not have one verified physical meaning. The workbooks also lack a reliable</ns0:t>
      </ns0:r>
      <ns0:r>
        <ns0:t xml:space="preserve"> </ns0:t>
      </ns0:r>
      <ns0:r>
        <ns0:t xml:space="preserve">identifier over the full period: codes are absent in FY2010-FY2012 and fully</ns0:t>
      </ns0:r>
      <ns0:r>
        <ns0:t xml:space="preserve"> </ns0:t>
      </ns0:r>
      <ns0:r>
        <ns0:t xml:space="preserve">change between FY2019 and FY2020. Treating them as persistent keys would break</ns0:t>
      </ns0:r>
      <ns0:r>
        <ns0:t xml:space="preserve"> </ns0:t>
      </ns0:r>
      <ns0:r>
        <ns0:t xml:space="preserve">histories and create false events.</ns0:t>
      </ns0:r>
    </ns0:p>
    <ns0:p>
      <ns0:pPr>
        <ns0:pStyle ns0:val="af"/>
      </ns0:pPr>
      <ns0:r>
        <ns0:t xml:space="preserve">A third problem concerns gross electricity divided by throughput. This gross</ns0:t>
      </ns0:r>
      <ns0:r>
        <ns0:t xml:space="preserve"> </ns0:t>
      </ns0:r>
      <ns0:r>
        <ns0:t xml:space="preserve">megawatt-hours-per-tonne (MWh/t) ratio combines generator size relative to</ns0:t>
      </ns0:r>
      <ns0:r>
        <ns0:t xml:space="preserve"> </ns0:t>
      </ns0:r>
      <ns0:r>
        <ns0:t xml:space="preserve">processing capacity, annual use of</ns0:t>
      </ns0:r>
      <ns0:r>
        <ns0:t xml:space="preserve"> </ns0:t>
      </ns0:r>
      <ns0:r>
        <ns0:t xml:space="preserve">installed electrical capacity, and waste loading. Treating it as an independent</ns0:t>
      </ns0:r>
      <ns0:r>
        <ns0:t xml:space="preserve"> </ns0:t>
      </ns0:r>
      <ns0:r>
        <ns0:t xml:space="preserve">operating measure can make a design-cohort difference look operational.</ns0:t>
      </ns0:r>
    </ns0:p>
    <ns0:p>
      <ns0:pPr>
        <ns0:pStyle ns0:val="af"/>
      </ns0:pPr>
      <ns0:r>
        <ns0:t xml:space="preserve">This thesis addresses the three problems in one national facility-level study.</ns0:t>
      </ns0:r>
      <ns0:r>
        <ns0:t xml:space="preserve"> </ns0:t>
      </ns0:r>
      <ns0:r>
        <ns0:t xml:space="preserve">It reconstructs stable administrative lineages before creating lags, separates</ns0:t>
      </ns0:r>
      <ns0:r>
        <ns0:t xml:space="preserve"> </ns0:t>
      </ns0:r>
      <ns0:r>
        <ns0:t xml:space="preserve">facility participation from waste-volume and design-capacity coverage, uses a</ns0:t>
      </ns0:r>
      <ns0:r>
        <ns0:t xml:space="preserve"> </ns0:t>
      </ns0:r>
      <ns0:r>
        <ns0:t xml:space="preserve">bias-reduced event-history model for sparse first-entry events, and decomposes</ns0:t>
      </ns0:r>
      <ns0:r>
        <ns0:t xml:space="preserve"> </ns0:t>
      </ns0:r>
      <ns0:r>
        <ns0:t xml:space="preserve">gross generation intensity into observable engineering components. The aim is</ns0:t>
      </ns0:r>
      <ns0:r>
        <ns0:t xml:space="preserve"> </ns0:t>
      </ns0:r>
      <ns0:r>
        <ns0:t xml:space="preserve">descriptive and diagnostic. The study does not estimate the effect of a</ns0:t>
      </ns0:r>
      <ns0:r>
        <ns0:t xml:space="preserve"> </ns0:t>
      </ns0:r>
      <ns0:r>
        <ns0:t xml:space="preserve">specific equipment project, infer a physical closure from administrative</ns0:t>
      </ns0:r>
      <ns0:r>
        <ns0:t xml:space="preserve"> </ns0:t>
      </ns0:r>
      <ns0:r>
        <ns0:t xml:space="preserve">absence, or calculate net electricity export, useful heat, lifecycle emissions,</ns0:t>
      </ns0:r>
      <ns0:r>
        <ns0:t xml:space="preserve"> </ns0:t>
      </ns0:r>
      <ns0:r>
        <ns0:t xml:space="preserve">or recoverable technical potential. Its primary contribution is a three-margin</ns0:t>
      </ns0:r>
      <ns0:r>
        <ns0:t xml:space="preserve"> </ns0:t>
      </ns0:r>
      <ns0:r>
        <ns0:t xml:space="preserve">diagnosis: coverage separates equipment counts from covered activity,</ns0:t>
      </ns0:r>
      <ns0:r>
        <ns0:t xml:space="preserve"> </ns0:t>
      </ns0:r>
      <ns0:r>
        <ns0:t xml:space="preserve">transition estimates first reported entry among observed non-generators, and</ns0:t>
      </ns0:r>
      <ns0:r>
        <ns0:t xml:space="preserve"> </ns0:t>
      </ns0:r>
      <ns0:r>
        <ns0:t xml:space="preserve">components separate installed generator design from annual use.</ns0:t>
      </ns0:r>
    </ns0:p>
    <ns0:bookmarkStart ns0:id="13" ns0:name="research-questions"/>
    <ns0:p>
      <ns0:pPr>
        <ns0:pStyle ns0:val="21"/>
      </ns0:pPr>
      <ns0:r>
        <ns0:t xml:space="preserve">1.1 Research questions</ns0:t>
      </ns0:r>
    </ns0:p>
    <ns0:p>
      <ns0:pPr>
        <ns0:pStyle ns0:val="FirstParagraph"/>
      </ns0:pPr>
      <ns0:r>
        <ns0:t xml:space="preserve">The three research questions (RQs) are:</ns0:t>
      </ns0:r>
    </ns0:p>
    <ns0:p>
      <ns0:pPr>
        <ns0:pStyle ns0:val="BlockText"/>
      </ns0:pPr>
      <ns0:r>
        <ns0:rPr>
          <ns0:b/>
          <ns0:bCs/>
        </ns0:rPr>
        <ns0:t xml:space="preserve">RQ1: Coverage and fleet composition.</ns0:t>
      </ns0:r>
      <ns0:r>
        <ns0:t xml:space="preserve"> </ns0:t>
      </ns0:r>
      <ns0:r>
        <ns0:t xml:space="preserve">How did the share of facility</ns0:t>
      </ns0:r>
      <ns0:r>
        <ns0:t xml:space="preserve"> </ns0:t>
      </ns0:r>
      <ns0:r>
        <ns0:t xml:space="preserve">records reporting installed electrical-generation capacity evolve from</ns0:t>
      </ns0:r>
      <ns0:r>
        <ns0:t xml:space="preserve"> </ns0:t>
      </ns0:r>
      <ns0:r>
        <ns0:t xml:space="preserve">FY2005 to FY2024, and how does that count-based measure compare with the share</ns0:t>
      </ns0:r>
      <ns0:r>
        <ns0:t xml:space="preserve"> </ns0:t>
      </ns0:r>
      <ns0:r>
        <ns0:t xml:space="preserve">of recorded waste throughput handled by positive-output facilities and the</ns0:t>
      </ns0:r>
      <ns0:r>
        <ns0:t xml:space="preserve"> </ns0:t>
      </ns0:r>
      <ns0:r>
        <ns0:t xml:space="preserve">share of waste-processing design capacity located at installed-capacity</ns0:t>
      </ns0:r>
      <ns0:r>
        <ns0:t xml:space="preserve"> </ns0:t>
      </ns0:r>
      <ns0:r>
        <ns0:t xml:space="preserve">facilities? How much of the endpoint change remains among administrative</ns0:t>
      </ns0:r>
      <ns0:r>
        <ns0:t xml:space="preserve"> </ns0:t>
      </ns0:r>
      <ns0:r>
        <ns0:t xml:space="preserve">lineages observed in both endpoint years?</ns0:t>
      </ns0:r>
    </ns0:p>
    <ns0:p>
      <ns0:pPr>
        <ns0:pStyle ns0:val="BlockText"/>
      </ns0:pPr>
      <ns0:r>
        <ns0:rPr>
          <ns0:b/>
          <ns0:bCs/>
        </ns0:rPr>
        <ns0:t xml:space="preserve">RQ2: First reported installed-capacity entry.</ns0:t>
      </ns0:r>
      <ns0:r>
        <ns0:t xml:space="preserve"> </ns0:t>
      </ns0:r>
      <ns0:r>
        <ns0:t xml:space="preserve">Among stable administrative</ns0:t>
      </ns0:r>
      <ns0:r>
        <ns0:t xml:space="preserve"> </ns0:t>
      </ns0:r>
      <ns0:r>
        <ns0:t xml:space="preserve">lineages first observed without installed electrical-generation capacity,</ns0:t>
      </ns0:r>
      <ns0:r>
        <ns0:t xml:space="preserve"> </ns0:t>
      </ns0:r>
      <ns0:r>
        <ns0:t xml:space="preserve">which prior-year age and waste-processing-scale profiles are associated with</ns0:t>
      </ns0:r>
      <ns0:r>
        <ns0:t xml:space="preserve"> </ns0:t>
      </ns0:r>
      <ns0:r>
        <ns0:t xml:space="preserve">first reporting positive capacity, and does the evidence change after the</ns0:t>
      </ns0:r>
      <ns0:r>
        <ns0:t xml:space="preserve"> </ns0:t>
      </ns0:r>
      <ns0:r>
        <ns0:t xml:space="preserve">risk set is restricted to lineages with positive prior-year waste throughput?</ns0:t>
      </ns0:r>
    </ns0:p>
    <ns0:p>
      <ns0:pPr>
        <ns0:pStyle ns0:val="BlockText"/>
      </ns0:pPr>
      <ns0:r>
        <ns0:rPr>
          <ns0:b/>
          <ns0:bCs/>
        </ns0:rPr>
        <ns0:t xml:space="preserve">RQ3: Installed design and annual use.</ns0:t>
      </ns0:r>
      <ns0:r>
        <ns0:t xml:space="preserve"> </ns0:t>
      </ns0:r>
      <ns0:r>
        <ns0:t xml:space="preserve">Among engineering-valid</ns0:t>
      </ns0:r>
      <ns0:r>
        <ns0:t xml:space="preserve"> </ns0:t>
      </ns0:r>
      <ns0:r>
        <ns0:t xml:space="preserve">operating-generator years, how do raw installed electrical capacity and annual</ns0:t>
      </ns0:r>
      <ns0:r>
        <ns0:t xml:space="preserve"> </ns0:t>
      </ns0:r>
      <ns0:r>
        <ns0:t xml:space="preserve">electrical capacity factor differ across reported facility start-year cohorts</ns0:t>
      </ns0:r>
      <ns0:r>
        <ns0:t xml:space="preserve"> </ns0:t>
      </ns0:r>
      <ns0:r>
        <ns0:t xml:space="preserve">after observed controls? Under a common control design, what are the relative</ns0:t>
      </ns0:r>
      <ns0:r>
        <ns0:t xml:space="preserve"> </ns0:t>
      </ns0:r>
      <ns0:r>
        <ns0:t xml:space="preserve">accounting components of cohort differences in gross MWh/t?</ns0:t>
      </ns0:r>
    </ns0:p>
    <ns0:p>
      <ns0:pPr>
        <ns0:pStyle ns0:val="FirstParagraph"/>
      </ns0:pPr>
      <ns0:r>
        <ns0:t xml:space="preserve">The sequence matters. RQ1 establishes the denominator problem at fleet level.</ns0:t>
      </ns0:r>
      <ns0:r>
        <ns0:t xml:space="preserve"> </ns0:t>
      </ns0:r>
      <ns0:r>
        <ns0:t xml:space="preserve">RQ2 then asks which observed non-generating lineages enter the installed-capacity</ns0:t>
      </ns0:r>
      <ns0:r>
        <ns0:t xml:space="preserve"> </ns0:t>
      </ns0:r>
      <ns0:r>
        <ns0:t xml:space="preserve">state. RQ3 begins only after positive throughput and gross output are observed,</ns0:t>
      </ns0:r>
      <ns0:r>
        <ns0:t xml:space="preserve"> </ns0:t>
      </ns0:r>
      <ns0:r>
        <ns0:t xml:space="preserve">and asks what produces differences within the generating segment. Figure 1</ns0:t>
      </ns0:r>
      <ns0:r>
        <ns0:t xml:space="preserve"> </ns0:t>
      </ns0:r>
      <ns0:r>
        <ns0:t xml:space="preserve">shows the annual count, throughput, and design-capacity coverage measures that</ns0:t>
      </ns0:r>
      <ns0:r>
        <ns0:t xml:space="preserve"> </ns0:t>
      </ns0:r>
      <ns0:r>
        <ns0:t xml:space="preserve">anchor this sequence.</ns0:t>
      </ns0:r>
    </ns0:p>
    <ns0:p>
      <ns0:pPr>
        <ns0:pStyle ns0:val="af"/>
      </ns0:pPr>
      <ns0:r>
        <ns0:rPr>
          <ns0:b/>
          <ns0:bCs/>
        </ns0:rPr>
        <ns0:t xml:space="preserve">Reader map for the three research questions</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on"/>
        </ns0:trPr>
        <ns0:tc>
          <ns0:tcPr/>
          <ns0:p>
            <ns0:pPr>
              <ns0:pStyle ns0:val="Compact"/>
              <ns0:jc ns0:val="left"/>
            </ns0:pPr>
            <ns0:r>
              <ns0:t xml:space="preserve">RQ</ns0:t>
            </ns0:r>
          </ns0:p>
        </ns0:tc>
        <ns0:tc>
          <ns0:tcPr/>
          <ns0:p>
            <ns0:pPr>
              <ns0:pStyle ns0:val="Compact"/>
              <ns0:jc ns0:val="left"/>
            </ns0:pPr>
            <ns0:r>
              <ns0:t xml:space="preserve">Analysis population</ns0:t>
            </ns0:r>
          </ns0:p>
        </ns0:tc>
        <ns0:tc>
          <ns0:tcPr/>
          <ns0:p>
            <ns0:pPr>
              <ns0:pStyle ns0:val="Compact"/>
              <ns0:jc ns0:val="left"/>
            </ns0:pPr>
            <ns0:r>
              <ns0:t xml:space="preserve">Evidence approach</ns0:t>
            </ns0:r>
          </ns0:p>
        </ns0:tc>
        <ns0:tc>
          <ns0:tcPr/>
          <ns0:p>
            <ns0:pPr>
              <ns0:pStyle ns0:val="Compact"/>
              <ns0:jc ns0:val="left"/>
            </ns0:pPr>
            <ns0:r>
              <ns0:t xml:space="preserve">Interpretation boundary</ns0:t>
            </ns0:r>
          </ns0:p>
        </ns0:tc>
      </ns0:tr>
      <ns0:tr>
        <ns0:tc>
          <ns0:tcPr/>
          <ns0:p>
            <ns0:pPr>
              <ns0:pStyle ns0:val="Compact"/>
              <ns0:jc ns0:val="left"/>
            </ns0:pPr>
            <ns0:r>
              <ns0:t xml:space="preserve">RQ1</ns0:t>
            </ns0:r>
          </ns0:p>
        </ns0:tc>
        <ns0:tc>
          <ns0:tcPr/>
          <ns0:p>
            <ns0:pPr>
              <ns0:pStyle ns0:val="Compact"/>
              <ns0:jc ns0:val="left"/>
            </ns0:pPr>
            <ns0:r>
              <ns0:t xml:space="preserve">Full retained annual facility panel</ns0:t>
            </ns0:r>
          </ns0:p>
        </ns0:tc>
        <ns0:tc>
          <ns0:tcPr/>
          <ns0:p>
            <ns0:pPr>
              <ns0:pStyle ns0:val="Compact"/>
              <ns0:jc ns0:val="left"/>
            </ns0:pPr>
            <ns0:r>
              <ns0:t xml:space="preserve">Compare facility participation, throughput coverage, design-capacity coverage, and endpoint-common change.</ns0:t>
            </ns0:r>
          </ns0:p>
        </ns0:tc>
        <ns0:tc>
          <ns0:tcPr/>
          <ns0:p>
            <ns0:pPr>
              <ns0:pStyle ns0:val="Compact"/>
              <ns0:jc ns0:val="left"/>
            </ns0:pPr>
            <ns0:r>
              <ns0:t xml:space="preserve">Does not measure conversion efficiency, environmental optimality, or causal retrofit.</ns0:t>
            </ns0:r>
          </ns0:p>
        </ns0:tc>
      </ns0:tr>
      <ns0:tr>
        <ns0:tc>
          <ns0:tcPr/>
          <ns0:p>
            <ns0:pPr>
              <ns0:pStyle ns0:val="Compact"/>
              <ns0:jc ns0:val="left"/>
            </ns0:pPr>
            <ns0:r>
              <ns0:t xml:space="preserve">RQ2</ns0:t>
            </ns0:r>
          </ns0:p>
        </ns0:tc>
        <ns0:tc>
          <ns0:tcPr/>
          <ns0:p>
            <ns0:pPr>
              <ns0:pStyle ns0:val="Compact"/>
              <ns0:jc ns0:val="left"/>
            </ns0:pPr>
            <ns0:r>
              <ns0:t xml:space="preserve">Administrative lineages at risk of first reported installed-capacity entry</ns0:t>
            </ns0:r>
          </ns0:p>
        </ns0:tc>
        <ns0:tc>
          <ns0:tcPr/>
          <ns0:p>
            <ns0:pPr>
              <ns0:pStyle ns0:val="Compact"/>
              <ns0:jc ns0:val="left"/>
            </ns0:pPr>
            <ns0:r>
              <ns0:t xml:space="preserve">Use a sparse-event Firth model to profile entry by prior-year age and processing scale.</ns0:t>
            </ns0:r>
          </ns0:p>
        </ns0:tc>
        <ns0:tc>
          <ns0:tcPr/>
          <ns0:p>
            <ns0:pPr>
              <ns0:pStyle ns0:val="Compact"/>
              <ns0:jc ns0:val="left"/>
            </ns0:pPr>
            <ns0:r>
              <ns0:t xml:space="preserve">Does not identify a physical project date or the causal effect of changing age or scale.</ns0:t>
            </ns0:r>
          </ns0:p>
        </ns0:tc>
      </ns0:tr>
      <ns0:tr>
        <ns0:tc>
          <ns0:tcPr/>
          <ns0:p>
            <ns0:pPr>
              <ns0:pStyle ns0:val="Compact"/>
              <ns0:jc ns0:val="left"/>
            </ns0:pPr>
            <ns0:r>
              <ns0:t xml:space="preserve">RQ3</ns0:t>
            </ns0:r>
          </ns0:p>
        </ns0:tc>
        <ns0:tc>
          <ns0:tcPr/>
          <ns0:p>
            <ns0:pPr>
              <ns0:pStyle ns0:val="Compact"/>
              <ns0:jc ns0:val="left"/>
            </ns0:pPr>
            <ns0:r>
              <ns0:t xml:space="preserve">Engineering-valid operating-generator years</ns0:t>
            </ns0:r>
          </ns0:p>
        </ns0:tc>
        <ns0:tc>
          <ns0:tcPr/>
          <ns0:p>
            <ns0:pPr>
              <ns0:pStyle ns0:val="Compact"/>
              <ns0:jc ns0:val="left"/>
            </ns0:pPr>
            <ns0:r>
              <ns0:t xml:space="preserve">Model raw installed kW and annual capacity factor, then reconcile the components of gross MWh/t.</ns0:t>
            </ns0:r>
          </ns0:p>
        </ns0:tc>
        <ns0:tc>
          <ns0:tcPr/>
          <ns0:p>
            <ns0:pPr>
              <ns0:pStyle ns0:val="Compact"/>
              <ns0:jc ns0:val="left"/>
            </ns0:pPr>
            <ns0:r>
              <ns0:t xml:space="preserve">Does not measure net export, thermodynamic or lifecycle efficiency, or causal mediation.</ns0:t>
            </ns0:r>
          </ns0:p>
        </ns0:tc>
      </ns0:tr>
    </ns0:tbl>
    <ns0:p>
      <ns0:pPr>
        <ns0:pStyle ns0:val="CaptionedFigure"/>
      </ns0:pPr>
      <ns0:r>
        <ns0:drawing>
          <ns1:inline>
            <ns1:extent cx="4770782" cy="2752374"/>
            <ns1:effectExtent b="0" l="0" r="0" t="0"/>
            <ns1:docPr descr="Figure 1. Annual electricity-recovery coverage among retained Japanese municipal-incinerator records, FY2005-FY2024. “Facilities” is the share of records reporting positive installed electrical capacity; “Throughput” is the share of annual waste processed at records reporting positive electricity output; and “Capacity” is the share of total waste-processing design capacity at records reporting positive installed electrical capacity. These three denominators answer different questions and are not interchangeable." title="" id="11" name="Picture"/>
            <ns2:graphic>
              <ns2:graphicData uri="http://schemas.openxmlformats.org/drawingml/2006/picture">
                <ns3:pic>
                  <ns3:nvPicPr>
                    <ns3:cNvPr descr="../../figures/figure1_two_part_framework.png" id="12" name="Picture"/>
                    <ns3:cNvPicPr>
                      <ns2:picLocks noChangeArrowheads="1" noChangeAspect="1"/>
                    </ns3:cNvPicPr>
                  </ns3:nvPicPr>
                  <ns3:blipFill>
                    <ns2:blip ns4:embed="rId10"/>
                    <ns2:stretch>
                      <ns2:fillRect/>
                    </ns2:stretch>
                  </ns3:blipFill>
                  <ns3:spPr bwMode="auto">
                    <ns2:xfrm>
                      <ns2:off x="0" y="0"/>
                      <ns2:ext cx="4770782" cy="2752374"/>
                    </ns2:xfrm>
                    <ns2:prstGeom prst="rect">
                      <ns2:avLst/>
                    </ns2:prstGeom>
                    <ns2:noFill/>
                    <ns2:ln w="9525">
                      <ns2:noFill/>
                      <ns2:headEnd/>
                      <ns2:tailEnd/>
                    </ns2:ln>
                  </ns3:spPr>
                </ns3:pic>
              </ns2:graphicData>
            </ns2:graphic>
          </ns1:inline>
        </ns0:drawing>
      </ns0:r>
    </ns0:p>
    <ns0:p>
      <ns0:pPr>
        <ns0:pStyle ns0:val="ImageCaption"/>
      </ns0:pPr>
      <ns0:r>
        <ns0:t xml:space="preserve">Figure 1. Annual electricity-recovery coverage among retained Japanese municipal-incinerator records, FY2005-FY2024.</ns0:t>
      </ns0:r>
      <ns0:r>
        <ns0:t xml:space="preserve"> </ns0:t>
      </ns0:r>
      <ns0:r>
        <ns0:t xml:space="preserve">“Facilities”</ns0:t>
      </ns0:r>
      <ns0:r>
        <ns0:t xml:space="preserve"> </ns0:t>
      </ns0:r>
      <ns0:r>
        <ns0:t xml:space="preserve">is the share of records reporting positive installed electrical capacity;</ns0:t>
      </ns0:r>
      <ns0:r>
        <ns0:t xml:space="preserve"> </ns0:t>
      </ns0:r>
      <ns0:r>
        <ns0:t xml:space="preserve">“Throughput”</ns0:t>
      </ns0:r>
      <ns0:r>
        <ns0:t xml:space="preserve"> </ns0:t>
      </ns0:r>
      <ns0:r>
        <ns0:t xml:space="preserve">is the share of annual waste processed at records reporting positive electricity output; and</ns0:t>
      </ns0:r>
      <ns0:r>
        <ns0:t xml:space="preserve"> </ns0:t>
      </ns0:r>
      <ns0:r>
        <ns0:t xml:space="preserve">“Capacity”</ns0:t>
      </ns0:r>
      <ns0:r>
        <ns0:t xml:space="preserve"> </ns0:t>
      </ns0:r>
      <ns0:r>
        <ns0:t xml:space="preserve">is the share of total waste-processing design capacity at records reporting positive installed electrical capacity. These three denominators answer different questions and are not interchangeable.</ns0:t>
      </ns0:r>
    </ns0:p>
    <ns0:bookmarkEnd ns0:id="13"/>
    <ns0:bookmarkStart ns0:id="14" ns0:name="thesis-objectives-and-significance"/>
    <ns0:p>
      <ns0:pPr>
        <ns0:pStyle ns0:val="21"/>
      </ns0:pPr>
      <ns0:r>
        <ns0:t xml:space="preserve">1.2 Thesis objectives and significance</ns0:t>
      </ns0:r>
    </ns0:p>
    <ns0:p>
      <ns0:pPr>
        <ns0:pStyle ns0:val="FirstParagraph"/>
      </ns0:pPr>
      <ns0:r>
        <ns0:t xml:space="preserve">The thesis has four linked objectives. First, it establishes a reproducible</ns0:t>
      </ns0:r>
      <ns0:r>
        <ns0:t xml:space="preserve"> </ns0:t>
      </ns0:r>
      <ns0:r>
        <ns0:t xml:space="preserve">longitudinal facility record before calculating transitions. This is necessary</ns0:t>
      </ns0:r>
      <ns0:r>
        <ns0:t xml:space="preserve"> </ns0:t>
      </ns0:r>
      <ns0:r>
        <ns0:t xml:space="preserve">because the official identifiers do not provide an uninterrupted key over the</ns0:t>
      </ns0:r>
      <ns0:r>
        <ns0:t xml:space="preserve"> </ns0:t>
      </ns0:r>
      <ns0:r>
        <ns0:t xml:space="preserve">study period. Second, it compares three fleet-coverage denominators rather than</ns0:t>
      </ns0:r>
      <ns0:r>
        <ns0:t xml:space="preserve"> </ns0:t>
      </ns0:r>
      <ns0:r>
        <ns0:t xml:space="preserve">allowing the facility count to stand for the whole system. Third, it estimates</ns0:t>
      </ns0:r>
      <ns0:r>
        <ns0:t xml:space="preserve"> </ns0:t>
      </ns0:r>
      <ns0:r>
        <ns0:t xml:space="preserve">first reported installed-capacity entry only within an explicit population at</ns0:t>
      </ns0:r>
      <ns0:r>
        <ns0:t xml:space="preserve"> </ns0:t>
      </ns0:r>
      <ns0:r>
        <ns0:t xml:space="preserve">risk and uses a sparse-event estimator suited to the small number of observed</ns0:t>
      </ns0:r>
      <ns0:r>
        <ns0:t xml:space="preserve"> </ns0:t>
      </ns0:r>
      <ns0:r>
        <ns0:t xml:space="preserve">entries. Fourth, it decomposes gross generation per tonne into generator design</ns0:t>
      </ns0:r>
      <ns0:r>
        <ns0:t xml:space="preserve"> </ns0:t>
      </ns0:r>
      <ns0:r>
        <ns0:t xml:space="preserve">intensity, electrical capacity factor, and waste-processing utilization. The</ns0:t>
      </ns0:r>
      <ns0:r>
        <ns0:t xml:space="preserve"> </ns0:t>
      </ns0:r>
      <ns0:r>
        <ns0:t xml:space="preserve">objectives therefore progress from data identity, to fleet description, to</ns0:t>
      </ns0:r>
      <ns0:r>
        <ns0:t xml:space="preserve"> </ns0:t>
      </ns0:r>
      <ns0:r>
        <ns0:t xml:space="preserve">transition, and finally to conditional engineering structure.</ns0:t>
      </ns0:r>
    </ns0:p>
    <ns0:p>
      <ns0:pPr>
        <ns0:pStyle ns0:val="af"/>
      </ns0:pPr>
      <ns0:r>
        <ns0:t xml:space="preserve">The academic significance lies primarily in this integrated measurement</ns0:t>
      </ns0:r>
      <ns0:r>
        <ns0:t xml:space="preserve"> </ns0:t>
      </ns0:r>
      <ns0:r>
        <ns0:t xml:space="preserve">architecture. Existing studies offer important analyses of system outcomes,</ns0:t>
      </ns0:r>
      <ns0:r>
        <ns0:t xml:space="preserve"> </ns0:t>
      </ns0:r>
      <ns0:r>
        <ns0:t xml:space="preserve">facility performance, and Japanese waste-to-energy policy, but those questions</ns0:t>
      </ns0:r>
      <ns0:r>
        <ns0:t xml:space="preserve"> </ns0:t>
      </ns0:r>
      <ns0:r>
        <ns0:t xml:space="preserve">do not share one denominator or one comparison population. Treating them as if</ns0:t>
      </ns0:r>
      <ns0:r>
        <ns0:t xml:space="preserve"> </ns0:t>
      </ns0:r>
      <ns0:r>
        <ns0:t xml:space="preserve">they did can turn a descriptive fleet share into a performance statement, or a</ns0:t>
      </ns0:r>
      <ns0:r>
        <ns0:t xml:space="preserve"> </ns0:t>
      </ns0:r>
      <ns0:r>
        <ns0:t xml:space="preserve">conditional generator comparison into an explanation of adoption. This thesis</ns0:t>
      </ns0:r>
      <ns0:r>
        <ns0:t xml:space="preserve"> </ns0:t>
      </ns0:r>
      <ns0:r>
        <ns0:t xml:space="preserve">shows how the three questions can be studied together without collapsing their</ns0:t>
      </ns0:r>
      <ns0:r>
        <ns0:t xml:space="preserve"> </ns0:t>
      </ns0:r>
      <ns0:r>
        <ns0:t xml:space="preserve">estimands. It also demonstrates why identity reconstruction is part of the</ns0:t>
      </ns0:r>
      <ns0:r>
        <ns0:t xml:space="preserve"> </ns0:t>
      </ns0:r>
      <ns0:r>
        <ns0:t xml:space="preserve">research design rather than a preliminary clerical step: transition estimates</ns0:t>
      </ns0:r>
      <ns0:r>
        <ns0:t xml:space="preserve"> </ns0:t>
      </ns0:r>
      <ns0:r>
        <ns0:t xml:space="preserve">depend on which annual records are considered continuous.</ns0:t>
      </ns0:r>
    </ns0:p>
    <ns0:p>
      <ns0:pPr>
        <ns0:pStyle ns0:val="af"/>
      </ns0:pPr>
      <ns0:r>
        <ns0:t xml:space="preserve">The practical significance is diagnostic rather than prescriptive. National</ns0:t>
      </ns0:r>
      <ns0:r>
        <ns0:t xml:space="preserve"> </ns0:t>
      </ns0:r>
      <ns0:r>
        <ns0:t xml:space="preserve">and municipal decision-makers need to know whether low participation by count</ns0:t>
      </ns0:r>
      <ns0:r>
        <ns0:t xml:space="preserve"> </ns0:t>
      </ns0:r>
      <ns0:r>
        <ns0:t xml:space="preserve">also means low coverage of waste activity, whether observed entry is broadly</ns0:t>
      </ns0:r>
      <ns0:r>
        <ns0:t xml:space="preserve"> </ns0:t>
      </ns0:r>
      <ns0:r>
        <ns0:t xml:space="preserve">distributed or concentrated among particular facility profiles, and whether a</ns0:t>
      </ns0:r>
      <ns0:r>
        <ns0:t xml:space="preserve"> </ns0:t>
      </ns0:r>
      <ns0:r>
        <ns0:t xml:space="preserve">gross-output difference reflects generator size or annual use. The results can</ns0:t>
      </ns0:r>
      <ns0:r>
        <ns0:t xml:space="preserve"> </ns0:t>
      </ns0:r>
      <ns0:r>
        <ns0:t xml:space="preserve">identify where additional engineering, financial, or project-history evidence</ns0:t>
      </ns0:r>
      <ns0:r>
        <ns0:t xml:space="preserve"> </ns0:t>
      </ns0:r>
      <ns0:r>
        <ns0:t xml:space="preserve">is most valuable. They cannot by themselves select a retrofit, replacement, or</ns0:t>
      </ns0:r>
      <ns0:r>
        <ns0:t xml:space="preserve"> </ns0:t>
      </ns0:r>
      <ns0:r>
        <ns0:t xml:space="preserve">closure project.</ns0:t>
      </ns0:r>
    </ns0:p>
    <ns0:p>
      <ns0:pPr>
        <ns0:pStyle ns0:val="af"/>
      </ns0:pPr>
      <ns0:r>
        <ns0:t xml:space="preserve">The social significance follows from keeping electricity recovery within the</ns0:t>
      </ns0:r>
      <ns0:r>
        <ns0:t xml:space="preserve"> </ns0:t>
      </ns0:r>
      <ns0:r>
        <ns0:t xml:space="preserve">waste hierarchy. Recovering electricity can reduce wasted combustion heat, but</ns0:t>
      </ns0:r>
      <ns0:r>
        <ns0:t xml:space="preserve"> </ns0:t>
      </ns0:r>
      <ns0:r>
        <ns0:t xml:space="preserve">it does not make waste prevention, reuse, and recycling unnecessary. Clear</ns0:t>
      </ns0:r>
      <ns0:r>
        <ns0:t xml:space="preserve"> </ns0:t>
      </ns0:r>
      <ns0:r>
        <ns0:t xml:space="preserve">measurement helps prevent a high throughput-coverage statistic from being</ns0:t>
      </ns0:r>
      <ns0:r>
        <ns0:t xml:space="preserve"> </ns0:t>
      </ns0:r>
      <ns0:r>
        <ns0:t xml:space="preserve">presented as proof of environmental optimality. It also avoids treating every</ns0:t>
      </ns0:r>
      <ns0:r>
        <ns0:t xml:space="preserve"> </ns0:t>
      </ns0:r>
      <ns0:r>
        <ns0:t xml:space="preserve">non-generating facility as an equally feasible opportunity when local waste</ns0:t>
      </ns0:r>
      <ns0:r>
        <ns0:t xml:space="preserve"> </ns0:t>
      </ns0:r>
      <ns0:r>
        <ns0:t xml:space="preserve">supply, costs, grid access, heat demand, and alternative treatment arrangements</ns0:t>
      </ns0:r>
      <ns0:r>
        <ns0:t xml:space="preserve"> </ns0:t>
      </ns0:r>
      <ns0:r>
        <ns0:t xml:space="preserve">remain unobserved.</ns0:t>
      </ns0:r>
    </ns0:p>
    <ns0:bookmarkEnd ns0:id="14"/>
    <ns0:bookmarkEnd ns0:id="15"/>
    <ns0:bookmarkStart ns0:id="22" ns0:name="literature-review"/>
    <ns0:p>
      <ns0:pPr>
        <ns0:pStyle ns0:val="1"/>
      </ns0:pPr>
      <ns0:r>
        <ns0:t xml:space="preserve">2. Literature Review</ns0:t>
      </ns0:r>
    </ns0:p>
    <ns0:bookmarkStart ns0:id="16" ns0:name="X7db3c71053a0b785b1a136948a82ae0b3a08fdb"/>
    <ns0:p>
      <ns0:pPr>
        <ns0:pStyle ns0:val="21"/>
      </ns0:pPr>
      <ns0:r>
        <ns0:t xml:space="preserve">2.1 Waste-to-energy within the waste hierarchy</ns0:t>
      </ns0:r>
    </ns0:p>
    <ns0:p>
      <ns0:pPr>
        <ns0:pStyle ns0:val="FirstParagraph"/>
      </ns0:pPr>
      <ns0:r>
        <ns0:t xml:space="preserve">Waste-to-energy (WtE) is not a single environmental outcome. It is a family of</ns0:t>
      </ns0:r>
      <ns0:r>
        <ns0:t xml:space="preserve"> </ns0:t>
      </ns0:r>
      <ns0:r>
        <ns0:t xml:space="preserve">thermal-treatment arrangements that can provide waste-disposal service, recover</ns0:t>
      </ns0:r>
      <ns0:r>
        <ns0:t xml:space="preserve"> </ns0:t>
      </ns0:r>
      <ns0:r>
        <ns0:t xml:space="preserve">electricity or useful heat, and produce emissions and residual materials at the</ns0:t>
      </ns0:r>
      <ns0:r>
        <ns0:t xml:space="preserve"> </ns0:t>
      </ns0:r>
      <ns0:r>
        <ns0:t xml:space="preserve">same time. Reviews therefore evaluate incineration within material-flow,</ns0:t>
      </ns0:r>
      <ns0:r>
        <ns0:t xml:space="preserve"> </ns0:t>
      </ns0:r>
      <ns0:r>
        <ns0:t xml:space="preserve">life-cycle, energy-system, and waste-hierarchy boundaries rather than by</ns0:t>
      </ns0:r>
      <ns0:r>
        <ns0:t xml:space="preserve"> </ns0:t>
      </ns0:r>
      <ns0:r>
        <ns0:t xml:space="preserve">electricity output alone (Astrup et al., 2009, 2015; Brunner &amp; Rechberger, 2015;</ns0:t>
      </ns0:r>
      <ns0:r>
        <ns0:t xml:space="preserve"> </ns0:t>
      </ns0:r>
      <ns0:r>
        <ns0:t xml:space="preserve">Lombardi et al., 2015; Münster &amp; Meibom, 2010). The environmental value assigned</ns0:t>
      </ns0:r>
      <ns0:r>
        <ns0:t xml:space="preserve"> </ns0:t>
      </ns0:r>
      <ns0:r>
        <ns0:t xml:space="preserve">to recovered energy can change with waste composition, the energy displaced,</ns0:t>
      </ns0:r>
      <ns0:r>
        <ns0:t xml:space="preserve"> </ns0:t>
      </ns0:r>
      <ns0:r>
        <ns0:t xml:space="preserve">plant configuration, treatment alternatives, and the boundary chosen for</ns0:t>
      </ns0:r>
      <ns0:r>
        <ns0:t xml:space="preserve"> </ns0:t>
      </ns0:r>
      <ns0:r>
        <ns0:t xml:space="preserve">analysis.</ns0:t>
      </ns0:r>
    </ns0:p>
    <ns0:p>
      <ns0:pPr>
        <ns0:pStyle ns0:val="af"/>
      </ns0:pPr>
      <ns0:r>
        <ns0:t xml:space="preserve">This wider framing is especially important for a study of an incineration-heavy</ns0:t>
      </ns0:r>
      <ns0:r>
        <ns0:t xml:space="preserve"> </ns0:t>
      </ns0:r>
      <ns0:r>
        <ns0:t xml:space="preserve">system. Comparative policy research places prevention, reuse, and material</ns0:t>
      </ns0:r>
      <ns0:r>
        <ns0:t xml:space="preserve"> </ns0:t>
      </ns0:r>
      <ns0:r>
        <ns0:t xml:space="preserve">recycling ahead of disposal, while recognizing energy recovery as one possible</ns0:t>
      </ns0:r>
      <ns0:r>
        <ns0:t xml:space="preserve"> </ns0:t>
      </ns0:r>
      <ns0:r>
        <ns0:t xml:space="preserve">function of residual-waste treatment (European Commission, 2017; Sakai et al.,</ns0:t>
      </ns0:r>
      <ns0:r>
        <ns0:t xml:space="preserve"> </ns0:t>
      </ns0:r>
      <ns0:r>
        <ns0:t xml:space="preserve">2011). Increasing electricity recovery is therefore not equivalent to improving</ns0:t>
      </ns0:r>
      <ns0:r>
        <ns0:t xml:space="preserve"> </ns0:t>
      </ns0:r>
      <ns0:r>
        <ns0:t xml:space="preserve">the whole waste system. More generation could reflect better use of unavoidable</ns0:t>
      </ns0:r>
      <ns0:r>
        <ns0:t xml:space="preserve"> </ns0:t>
      </ns0:r>
      <ns0:r>
        <ns0:t xml:space="preserve">combustion heat, but it could also coexist with high residual-waste throughput.</ns0:t>
      </ns0:r>
      <ns0:r>
        <ns0:t xml:space="preserve"> </ns0:t>
      </ns0:r>
      <ns0:r>
        <ns0:t xml:space="preserve">The appropriate interpretation depends on which question is being asked.</ns0:t>
      </ns0:r>
    </ns0:p>
    <ns0:p>
      <ns0:pPr>
        <ns0:pStyle ns0:val="af"/>
      </ns0:pPr>
      <ns0:r>
        <ns0:t xml:space="preserve">This thesis deliberately conditions on the observed Japanese incineration fleet.</ns0:t>
      </ns0:r>
      <ns0:r>
        <ns0:t xml:space="preserve"> </ns0:t>
      </ns0:r>
      <ns0:r>
        <ns0:t xml:space="preserve">It asks how electricity recovery is distributed within that fleet, not whether</ns0:t>
      </ns0:r>
      <ns0:r>
        <ns0:t xml:space="preserve"> </ns0:t>
      </ns0:r>
      <ns0:r>
        <ns0:t xml:space="preserve">incineration should replace prevention or recycling. It also does not estimate</ns0:t>
      </ns0:r>
      <ns0:r>
        <ns0:t xml:space="preserve"> </ns0:t>
      </ns0:r>
      <ns0:r>
        <ns0:t xml:space="preserve">life-cycle greenhouse-gas savings, avoided generation, pollutant exposure, ash</ns0:t>
      </ns0:r>
      <ns0:r>
        <ns0:t xml:space="preserve"> </ns0:t>
      </ns0:r>
      <ns0:r>
        <ns0:t xml:space="preserve">management, heat use, or social welfare. Keeping these outcomes outside the</ns0:t>
      </ns0:r>
      <ns0:r>
        <ns0:t xml:space="preserve"> </ns0:t>
      </ns0:r>
      <ns0:r>
        <ns0:t xml:space="preserve">estimand prevents the gross electricity measures reported below from becoming</ns0:t>
      </ns0:r>
      <ns0:r>
        <ns0:t xml:space="preserve"> </ns0:t>
      </ns0:r>
      <ns0:r>
        <ns0:t xml:space="preserve">an unsupported claim of overall sustainability.</ns0:t>
      </ns0:r>
    </ns0:p>
    <ns0:bookmarkEnd ns0:id="16"/>
    <ns0:bookmarkStart ns0:id="17" ns0:name="Xdbcca365d3cbeb7b3854e490578e9bcf2f24a64"/>
    <ns0:p>
      <ns0:pPr>
        <ns0:pStyle ns0:val="21"/>
      </ns0:pPr>
      <ns0:r>
        <ns0:t xml:space="preserve">2.2 Japan’s municipal transition and operating context</ns0:t>
      </ns0:r>
    </ns0:p>
    <ns0:p>
      <ns0:pPr>
        <ns0:pStyle ns0:val="FirstParagraph"/>
      </ns0:pPr>
      <ns0:r>
        <ns0:t xml:space="preserve">Japan’s municipal solid-waste system combines national policy with local</ns0:t>
      </ns0:r>
      <ns0:r>
        <ns0:t xml:space="preserve"> </ns0:t>
      </ns0:r>
      <ns0:r>
        <ns0:t xml:space="preserve">implementation. Municipal instruments can alter the quantity and composition of</ns0:t>
      </ns0:r>
      <ns0:r>
        <ns0:t xml:space="preserve"> </ns0:t>
      </ns0:r>
      <ns0:r>
        <ns0:t xml:space="preserve">residual waste before it reaches an incinerator. For example, Japanese</ns0:t>
      </ns0:r>
      <ns0:r>
        <ns0:t xml:space="preserve"> </ns0:t>
      </ns0:r>
      <ns0:r>
        <ns0:t xml:space="preserve">unit-charging programmes have been studied as waste-reduction and recycling</ns0:t>
      </ns0:r>
      <ns0:r>
        <ns0:t xml:space="preserve"> </ns0:t>
      </ns0:r>
      <ns0:r>
        <ns0:t xml:space="preserve">measures, with effects depending on programme design and complementary</ns0:t>
      </ns0:r>
      <ns0:r>
        <ns0:t xml:space="preserve"> </ns0:t>
      </ns0:r>
      <ns0:r>
        <ns0:t xml:space="preserve">collection arrangements (Sakai et al., 2008). This means that annual incinerator</ns0:t>
      </ns0:r>
      <ns0:r>
        <ns0:t xml:space="preserve"> </ns0:t>
      </ns0:r>
      <ns0:r>
        <ns0:t xml:space="preserve">throughput is not simply an engineering input: it is partly the downstream result</ns0:t>
      </ns0:r>
      <ns0:r>
        <ns0:t xml:space="preserve"> </ns0:t>
      </ns0:r>
      <ns0:r>
        <ns0:t xml:space="preserve">of local waste-management choices that are not fully observed in the facility</ns0:t>
      </ns0:r>
      <ns0:r>
        <ns0:t xml:space="preserve"> </ns0:t>
      </ns0:r>
      <ns0:r>
        <ns0:t xml:space="preserve">workbooks.</ns0:t>
      </ns0:r>
    </ns0:p>
    <ns0:p>
      <ns0:pPr>
        <ns0:pStyle ns0:val="af"/>
      </ns0:pPr>
      <ns0:r>
        <ns0:t xml:space="preserve">Within the treatment stage, prior Japan-focused research examines several</ns0:t>
      </ns0:r>
      <ns0:r>
        <ns0:t xml:space="preserve"> </ns0:t>
      </ns0:r>
      <ns0:r>
        <ns0:t xml:space="preserve">different margins. Uno (2015) describes technical developments associated with</ns0:t>
      </ns0:r>
      <ns0:r>
        <ns0:t xml:space="preserve"> </ns0:t>
      </ns0:r>
      <ns0:r>
        <ns0:t xml:space="preserve">higher-efficiency power generation. Tabata and Tsai (2016) examine heat supply</ns0:t>
      </ns0:r>
      <ns0:r>
        <ns0:t xml:space="preserve"> </ns0:t>
      </ns0:r>
      <ns0:r>
        <ns0:t xml:space="preserve">and the local constraints on using recovered heat. Sun et al. (2018) show through</ns0:t>
      </ns0:r>
      <ns0:r>
        <ns0:t xml:space="preserve"> </ns0:t>
      </ns0:r>
      <ns0:r>
        <ns0:t xml:space="preserve">a Tokyo case that energy recovery can be considered within an integrated urban</ns0:t>
      </ns0:r>
      <ns0:r>
        <ns0:t xml:space="preserve"> </ns0:t>
      </ns0:r>
      <ns0:r>
        <ns0:t xml:space="preserve">waste-management network rather than at one plant in isolation. Sasao (2018)</ns0:t>
      </ns0:r>
      <ns0:r>
        <ns0:t xml:space="preserve"> </ns0:t>
      </ns0:r>
      <ns0:r>
        <ns0:t xml:space="preserve">uses repeated facility observations to study how municipal solid-waste policy</ns0:t>
      </ns0:r>
      <ns0:r>
        <ns0:t xml:space="preserve"> </ns0:t>
      </ns0:r>
      <ns0:r>
        <ns0:t xml:space="preserve">relates to heat and electricity output. Shino (2019) examines generation</ns0:t>
      </ns0:r>
      <ns0:r>
        <ns0:t xml:space="preserve"> </ns0:t>
      </ns0:r>
      <ns0:r>
        <ns0:t xml:space="preserve">performance relative to waste input, while Yamada et al. (2023) place the sector</ns0:t>
      </ns0:r>
      <ns0:r>
        <ns0:t xml:space="preserve"> </ns0:t>
      </ns0:r>
      <ns0:r>
        <ns0:t xml:space="preserve">within longer-run Japanese decarbonization scenarios.</ns0:t>
      </ns0:r>
    </ns0:p>
    <ns0:p>
      <ns0:pPr>
        <ns0:pStyle ns0:val="af"/>
      </ns0:pPr>
      <ns0:r>
        <ns0:t xml:space="preserve">The institutional setting also changed during the observation window. The</ns0:t>
      </ns0:r>
      <ns0:r>
        <ns0:t xml:space="preserve"> </ns0:t>
      </ns0:r>
      <ns0:r>
        <ns0:t xml:space="preserve">Ministry maintains a high-efficiency waste-power facility development manual that</ns0:t>
      </ns0:r>
      <ns0:r>
        <ns0:t xml:space="preserve"> </ns0:t>
      </ns0:r>
      <ns0:r>
        <ns0:t xml:space="preserve">linked facility support requirements to power-generation performance and</ns0:t>
      </ns0:r>
      <ns0:r>
        <ns0:t xml:space="preserve"> </ns0:t>
      </ns0:r>
      <ns0:r>
        <ns0:t xml:space="preserve">published technical guidance for plant planning (Ministry of the Environment</ns0:t>
      </ns0:r>
      <ns0:r>
        <ns0:t xml:space="preserve"> </ns0:t>
      </ns0:r>
      <ns0:r>
        <ns0:t xml:space="preserve">Japan, n.d.). The Great East Japan Earthquake and Fukushima Daiichi accident in</ns0:t>
      </ns0:r>
      <ns0:r>
        <ns0:t xml:space="preserve"> </ns0:t>
      </ns0:r>
      <ns0:r>
        <ns0:t xml:space="preserve">March 2011 then changed the national energy-policy context. Japan’s feed-in</ns0:t>
      </ns0:r>
      <ns0:r>
        <ns0:t xml:space="preserve"> </ns0:t>
      </ns0:r>
      <ns0:r>
        <ns0:t xml:space="preserve">tariff (FIT) system began in July 2012, and waste-derived biomass electricity was</ns0:t>
      </ns0:r>
      <ns0:r>
        <ns0:t xml:space="preserve"> </ns0:t>
      </ns0:r>
      <ns0:r>
        <ns0:t xml:space="preserve">among the eligible renewable categories (Agency for Natural Resources and</ns0:t>
      </ns0:r>
      <ns0:r>
        <ns0:t xml:space="preserve"> </ns0:t>
      </ns0:r>
      <ns0:r>
        <ns0:t xml:space="preserve">Energy, 2017; Sasao, 2018). In FY2014, the Ministry also offered capital support</ns0:t>
      </ns0:r>
      <ns0:r>
        <ns0:t xml:space="preserve"> </ns0:t>
      </ns0:r>
      <ns0:r>
        <ns0:t xml:space="preserve">for high-efficiency waste-heat recovery and waste-derived biomass generation</ns0:t>
      </ns0:r>
      <ns0:r>
        <ns0:t xml:space="preserve"> </ns0:t>
      </ns0:r>
      <ns0:r>
        <ns0:t xml:space="preserve">(Ministry of the Environment Japan, 2014).</ns0:t>
      </ns0:r>
    </ns0:p>
    <ns0:p>
      <ns0:pPr>
        <ns0:pStyle ns0:val="af"/>
      </ns0:pPr>
      <ns0:r>
        <ns0:t xml:space="preserve">These milestones make calendar time substantively relevant, but they do not</ns0:t>
      </ns0:r>
      <ns0:r>
        <ns0:t xml:space="preserve"> </ns0:t>
      </ns0:r>
      <ns0:r>
        <ns0:t xml:space="preserve">create a causal research design in this thesis. The annual workbooks do not</ns0:t>
      </ns0:r>
      <ns0:r>
        <ns0:t xml:space="preserve"> </ns0:t>
      </ns0:r>
      <ns0:r>
        <ns0:t xml:space="preserve">identify whether a facility received a subsidy, obtained FIT accreditation,</ns0:t>
      </ns0:r>
      <ns0:r>
        <ns0:t xml:space="preserve"> </ns0:t>
      </ns0:r>
      <ns0:r>
        <ns0:t xml:space="preserve">changed its electricity contract, or invested because of the post-2011 energy</ns0:t>
      </ns0:r>
      <ns0:r>
        <ns0:t xml:space="preserve"> </ns0:t>
      </ns0:r>
      <ns0:r>
        <ns0:t xml:space="preserve">shock. The entry model therefore includes a smooth calendar term to absorb broad</ns0:t>
      </ns0:r>
      <ns0:r>
        <ns0:t xml:space="preserve"> </ns0:t>
      </ns0:r>
      <ns0:r>
        <ns0:t xml:space="preserve">time ordering; it does not treat FY2011 or FY2012 as an exogenous breakpoint or</ns0:t>
      </ns0:r>
      <ns0:r>
        <ns0:t xml:space="preserve"> </ns0:t>
      </ns0:r>
      <ns0:r>
        <ns0:t xml:space="preserve">estimate a Fukushima or FIT effect.</ns0:t>
      </ns0:r>
    </ns0:p>
    <ns0:p>
      <ns0:pPr>
        <ns0:pStyle ns0:val="af"/>
      </ns0:pPr>
      <ns0:r>
        <ns0:t xml:space="preserve">Scale is important in this literature, but it is not a complete decision rule.</ns0:t>
      </ns0:r>
      <ns0:r>
        <ns0:t xml:space="preserve"> </ns0:t>
      </ns0:r>
      <ns0:r>
        <ns0:t xml:space="preserve">Large, continuously operated plants can support steam conditions and generating</ns0:t>
      </ns0:r>
      <ns0:r>
        <ns0:t xml:space="preserve"> </ns0:t>
      </ns0:r>
      <ns0:r>
        <ns0:t xml:space="preserve">equipment that are difficult to reproduce at small sites. Yet a heat-balance case</ns0:t>
      </ns0:r>
      <ns0:r>
        <ns0:t xml:space="preserve"> </ns0:t>
      </ns0:r>
      <ns0:r>
        <ns0:t xml:space="preserve">study by Yoshida et al. (2018) identifies technically possible recovery options</ns0:t>
      </ns0:r>
      <ns0:r>
        <ns0:t xml:space="preserve"> </ns0:t>
      </ns0:r>
      <ns0:r>
        <ns0:t xml:space="preserve">for a small Japanese facility and separately examines their costs and benefits.</ns0:t>
      </ns0:r>
      <ns0:r>
        <ns0:t xml:space="preserve"> </ns0:t>
      </ns0:r>
      <ns0:r>
        <ns0:t xml:space="preserve">The relevant question is therefore not simply whether a small plant lacks a</ns0:t>
      </ns0:r>
      <ns0:r>
        <ns0:t xml:space="preserve"> </ns0:t>
      </ns0:r>
      <ns0:r>
        <ns0:t xml:space="preserve">generator. Feasibility can also depend on waste supply, technology, capital and</ns0:t>
      </ns0:r>
      <ns0:r>
        <ns0:t xml:space="preserve"> </ns0:t>
      </ns0:r>
      <ns0:r>
        <ns0:t xml:space="preserve">operating costs, grid connection, heat demand, and regional coordination.</ns0:t>
      </ns0:r>
    </ns0:p>
    <ns0:p>
      <ns0:pPr>
        <ns0:pStyle ns0:val="af"/>
      </ns0:pPr>
      <ns0:r>
        <ns0:t xml:space="preserve">The national administrative panel used here does not consistently observe those</ns0:t>
      </ns0:r>
      <ns0:r>
        <ns0:t xml:space="preserve"> </ns0:t>
      </ns0:r>
      <ns0:r>
        <ns0:t xml:space="preserve">project-level factors. It can show which reported facility profiles are</ns0:t>
      </ns0:r>
      <ns0:r>
        <ns0:t xml:space="preserve"> </ns0:t>
      </ns0:r>
      <ns0:r>
        <ns0:t xml:space="preserve">associated with witnessed entry, but it cannot identify why a municipality made</ns0:t>
      </ns0:r>
      <ns0:r>
        <ns0:t xml:space="preserve"> </ns0:t>
      </ns0:r>
      <ns0:r>
        <ns0:t xml:space="preserve">a particular investment. This boundary is consequential: an association between</ns0:t>
      </ns0:r>
      <ns0:r>
        <ns0:t xml:space="preserve"> </ns0:t>
      </ns0:r>
      <ns0:r>
        <ns0:t xml:space="preserve">size and entry is evidence about observed selection in the fleet, not proof that</ns0:t>
      </ns0:r>
      <ns0:r>
        <ns0:t xml:space="preserve"> </ns0:t>
      </ns0:r>
      <ns0:r>
        <ns0:t xml:space="preserve">size alone caused adoption or that every large non-generator should be</ns0:t>
      </ns0:r>
      <ns0:r>
        <ns0:t xml:space="preserve"> </ns0:t>
      </ns0:r>
      <ns0:r>
        <ns0:t xml:space="preserve">retrofitted.</ns0:t>
      </ns0:r>
    </ns0:p>
    <ns0:bookmarkEnd ns0:id="17"/>
    <ns0:bookmarkStart ns0:id="18" ns0:name="X54eb95fdab7ac3bb3de720cad5a81b199d60f25"/>
    <ns0:p>
      <ns0:pPr>
        <ns0:pStyle ns0:val="21"/>
      </ns0:pPr>
      <ns0:r>
        <ns0:t xml:space="preserve">2.3 Measuring coverage, performance, and efficiency</ns0:t>
      </ns0:r>
    </ns0:p>
    <ns0:p>
      <ns0:pPr>
        <ns0:pStyle ns0:val="FirstParagraph"/>
      </ns0:pPr>
      <ns0:r>
        <ns0:t xml:space="preserve">The literature also shows why the word</ns0:t>
      </ns0:r>
      <ns0:r>
        <ns0:t xml:space="preserve"> </ns0:t>
      </ns0:r>
      <ns0:r>
        <ns0:rPr>
          <ns0:i/>
          <ns0:iCs/>
        </ns0:rPr>
        <ns0:t xml:space="preserve">efficiency</ns0:t>
      </ns0:r>
      <ns0:r>
        <ns0:t xml:space="preserve"> </ns0:t>
      </ns0:r>
      <ns0:r>
        <ns0:t xml:space="preserve">requires qualification.</ns0:t>
      </ns0:r>
      <ns0:r>
        <ns0:t xml:space="preserve"> </ns0:t>
      </ns0:r>
      <ns0:r>
        <ns0:t xml:space="preserve">Thermal-treatment reviews compare technologies using electrical, thermal, or</ns0:t>
      </ns0:r>
      <ns0:r>
        <ns0:t xml:space="preserve"> </ns0:t>
      </ns0:r>
      <ns0:r>
        <ns0:t xml:space="preserve">combined energy performance and sometimes life-cycle measures (Astrup et al.,</ns0:t>
      </ns0:r>
      <ns0:r>
        <ns0:t xml:space="preserve"> </ns0:t>
      </ns0:r>
      <ns0:r>
        <ns0:t xml:space="preserve">2015; Lombardi et al., 2015). The European Union’s R1 energy-recovery formula</ns0:t>
      </ns0:r>
      <ns0:r>
        <ns0:t xml:space="preserve"> </ns0:t>
      </ns0:r>
      <ns0:r>
        <ns0:t xml:space="preserve">uses a defined accounting boundary (Grosso et al., 2010).</ns0:t>
      </ns0:r>
      <ns0:r>
        <ns0:t xml:space="preserve"> </ns0:t>
      </ns0:r>
      <ns0:r>
        <ns0:t xml:space="preserve">Facility benchmarking studies may instead estimate technical or revenue</ns0:t>
      </ns0:r>
      <ns0:r>
        <ns0:t xml:space="preserve"> </ns0:t>
      </ns0:r>
      <ns0:r>
        <ns0:t xml:space="preserve">efficiency relative to observed peers (Chen et al., 2012; Yeh, 2020). These are</ns0:t>
      </ns0:r>
      <ns0:r>
        <ns0:t xml:space="preserve"> </ns0:t>
      </ns0:r>
      <ns0:r>
        <ns0:t xml:space="preserve">not interchangeable quantities.</ns0:t>
      </ns0:r>
    </ns0:p>
    <ns0:p>
      <ns0:pPr>
        <ns0:pStyle ns0:val="af"/>
      </ns0:pPr>
      <ns0:r>
        <ns0:t xml:space="preserve">The Ministry workbooks report installed electrical capacity, annual gross</ns0:t>
      </ns0:r>
      <ns0:r>
        <ns0:t xml:space="preserve"> </ns0:t>
      </ns0:r>
      <ns0:r>
        <ns0:t xml:space="preserve">electricity generation, waste-processing design capacity, and annual throughput.</ns0:t>
      </ns0:r>
      <ns0:r>
        <ns0:t xml:space="preserve"> </ns0:t>
      </ns0:r>
      <ns0:r>
        <ns0:t xml:space="preserve">They do not provide a complete and consistent series for net export, internal</ns0:t>
      </ns0:r>
      <ns0:r>
        <ns0:t xml:space="preserve"> </ns0:t>
      </ns0:r>
      <ns0:r>
        <ns0:t xml:space="preserve">electricity use, useful heat delivery, lower heating value, steam conditions,</ns0:t>
      </ns0:r>
      <ns0:r>
        <ns0:t xml:space="preserve"> </ns0:t>
      </ns0:r>
      <ns0:r>
        <ns0:t xml:space="preserve">operating cost, or emissions. Gross megawatt-hours per tonne (MWh/t) is therefore</ns0:t>
      </ns0:r>
      <ns0:r>
        <ns0:t xml:space="preserve"> </ns0:t>
      </ns0:r>
      <ns0:r>
        <ns0:t xml:space="preserve">observable, but it is not a direct thermal-conversion efficiency. Shino (2019)</ns0:t>
      </ns0:r>
      <ns0:r>
        <ns0:t xml:space="preserve"> </ns0:t>
      </ns0:r>
      <ns0:r>
        <ns0:t xml:space="preserve">similarly treats generation relative to waste input as informative while noting</ns0:t>
      </ns0:r>
      <ns0:r>
        <ns0:t xml:space="preserve"> </ns0:t>
      </ns0:r>
      <ns0:r>
        <ns0:t xml:space="preserve">that a thermal interpretation requires calorific-value information.</ns0:t>
      </ns0:r>
    </ns0:p>
    <ns0:p>
      <ns0:pPr>
        <ns0:pStyle ns0:val="af"/>
      </ns0:pPr>
      <ns0:r>
        <ns0:t xml:space="preserve">Measurement also changes the apparent reach of energy recovery. A facility-count</ns0:t>
      </ns0:r>
      <ns0:r>
        <ns0:t xml:space="preserve"> </ns0:t>
      </ns0:r>
      <ns0:r>
        <ns0:t xml:space="preserve">share weights a small and a large plant equally. A throughput share weights each</ns0:t>
      </ns0:r>
      <ns0:r>
        <ns0:t xml:space="preserve"> </ns0:t>
      </ns0:r>
      <ns0:r>
        <ns0:t xml:space="preserve">plant by the tonnes it actually processes. A design-capacity share weights its</ns0:t>
      </ns0:r>
      <ns0:r>
        <ns0:t xml:space="preserve"> </ns0:t>
      </ns0:r>
      <ns0:r>
        <ns0:t xml:space="preserve">nominal daily waste-processing capacity. None is inherently the correct</ns0:t>
      </ns0:r>
      <ns0:r>
        <ns0:t xml:space="preserve"> </ns0:t>
      </ns0:r>
      <ns0:r>
        <ns0:t xml:space="preserve">denominator for every purpose. Used together, however, they reveal whether</ns0:t>
      </ns0:r>
      <ns0:r>
        <ns0:t xml:space="preserve"> </ns0:t>
      </ns0:r>
      <ns0:r>
        <ns0:t xml:space="preserve">generation is diffuse across facilities or concentrated where most waste is</ns0:t>
      </ns0:r>
      <ns0:r>
        <ns0:t xml:space="preserve"> </ns0:t>
      </ns0:r>
      <ns0:r>
        <ns0:t xml:space="preserve">processed and capacity is installed.</ns0:t>
      </ns0:r>
    </ns0:p>
    <ns0:p>
      <ns0:pPr>
        <ns0:pStyle ns0:val="af"/>
      </ns0:pPr>
      <ns0:r>
        <ns0:t xml:space="preserve">The present design consequently separates three estimands. Fleet coverage is an</ns0:t>
      </ns0:r>
      <ns0:r>
        <ns0:t xml:space="preserve"> </ns0:t>
      </ns0:r>
      <ns0:r>
        <ns0:t xml:space="preserve">annual ratio whose denominator is facilities, tonnes, or waste-processing design</ns0:t>
      </ns0:r>
      <ns0:r>
        <ns0:t xml:space="preserve"> </ns0:t>
      </ns0:r>
      <ns0:r>
        <ns0:t xml:space="preserve">capacity. Entry is a discrete-time conditional probability among lineages</ns0:t>
      </ns0:r>
      <ns0:r>
        <ns0:t xml:space="preserve"> </ns0:t>
      </ns0:r>
      <ns0:r>
        <ns0:t xml:space="preserve">observed at risk. Generator-component estimates are conditional associations</ns0:t>
      </ns0:r>
      <ns0:r>
        <ns0:t xml:space="preserve"> </ns0:t>
      </ns0:r>
      <ns0:r>
        <ns0:t xml:space="preserve">among positive-throughput, positive-output generator-years that pass stated</ns0:t>
      </ns0:r>
      <ns0:r>
        <ns0:t xml:space="preserve"> </ns0:t>
      </ns0:r>
      <ns0:r>
        <ns0:t xml:space="preserve">engineering checks. A coefficient from the generator frame cannot explain why a</ns0:t>
      </ns0:r>
      <ns0:r>
        <ns0:t xml:space="preserve"> </ns0:t>
      </ns0:r>
      <ns0:r>
        <ns0:t xml:space="preserve">non-generator enters, and a facility participation rate cannot describe the</ns0:t>
      </ns0:r>
      <ns0:r>
        <ns0:t xml:space="preserve"> </ns0:t>
      </ns0:r>
      <ns0:r>
        <ns0:t xml:space="preserve">share of waste processed with electricity output.</ns0:t>
      </ns0:r>
    </ns0:p>
    <ns0:p>
      <ns0:pPr>
        <ns0:pStyle ns0:val="af"/>
      </ns0:pPr>
      <ns0:r>
        <ns0:t xml:space="preserve">This separation permits a low count share and high throughput share to be true</ns0:t>
      </ns0:r>
      <ns0:r>
        <ns0:t xml:space="preserve"> </ns0:t>
      </ns0:r>
      <ns0:r>
        <ns0:t xml:space="preserve">simultaneously. It also permits newer cohorts to report higher gross MWh/t</ns0:t>
      </ns0:r>
      <ns0:r>
        <ns0:t xml:space="preserve"> </ns0:t>
      </ns0:r>
      <ns0:r>
        <ns0:t xml:space="preserve">because of larger generators even when older generators do not have lower annual</ns0:t>
      </ns0:r>
      <ns0:r>
        <ns0:t xml:space="preserve"> </ns0:t>
      </ns0:r>
      <ns0:r>
        <ns0:t xml:space="preserve">capacity factors. Section 3 states the exact identity used to distinguish those</ns0:t>
      </ns0:r>
      <ns0:r>
        <ns0:t xml:space="preserve"> </ns0:t>
      </ns0:r>
      <ns0:r>
        <ns0:t xml:space="preserve">components.</ns0:t>
      </ns0:r>
    </ns0:p>
    <ns0:bookmarkEnd ns0:id="18"/>
    <ns0:bookmarkStart ns0:id="19" ns0:name="Xe851192c19ca7cc8d365bc45c866057b8140dd3"/>
    <ns0:p>
      <ns0:pPr>
        <ns0:pStyle ns0:val="21"/>
      </ns0:pPr>
      <ns0:r>
        <ns0:t xml:space="preserve">2.4 Infrastructure heterogeneity, transition, and persistence</ns0:t>
      </ns0:r>
    </ns0:p>
    <ns0:p>
      <ns0:pPr>
        <ns0:pStyle ns0:val="FirstParagraph"/>
      </ns0:pPr>
      <ns0:r>
        <ns0:t xml:space="preserve">Incinerators are long-lived infrastructure embedded in municipal organisations,</ns0:t>
      </ns0:r>
      <ns0:r>
        <ns0:t xml:space="preserve"> </ns0:t>
      </ns0:r>
      <ns0:r>
        <ns0:t xml:space="preserve">regulation, collection systems, energy networks, and local service obligations.</ns0:t>
      </ns0:r>
      <ns0:r>
        <ns0:t xml:space="preserve"> </ns0:t>
      </ns0:r>
      <ns0:r>
        <ns0:t xml:space="preserve">Socio-technical research distinguishes a technology from the wider system of</ns0:t>
      </ns0:r>
      <ns0:r>
        <ns0:t xml:space="preserve"> </ns0:t>
      </ns0:r>
      <ns0:r>
        <ns0:t xml:space="preserve">actors, rules, users, and material arrangements that supports it (Geels, 2004).</ns0:t>
      </ns0:r>
      <ns0:r>
        <ns0:t xml:space="preserve"> </ns0:t>
      </ns0:r>
      <ns0:r>
        <ns0:t xml:space="preserve">Carbon lock-in research likewise explains how long-lived capital and</ns0:t>
      </ns0:r>
      <ns0:r>
        <ns0:t xml:space="preserve"> </ns0:t>
      </ns0:r>
      <ns0:r>
        <ns0:t xml:space="preserve">institutional interdependence can make infrastructure pathways persistent</ns0:t>
      </ns0:r>
      <ns0:r>
        <ns0:t xml:space="preserve"> </ns0:t>
      </ns0:r>
      <ns0:r>
        <ns0:t xml:space="preserve">(Seto et al., 2016; Unruh, 2000). These perspectives make age, cohort, and</ns0:t>
      </ns0:r>
      <ns0:r>
        <ns0:t xml:space="preserve"> </ns0:t>
      </ns0:r>
      <ns0:r>
        <ns0:t xml:space="preserve">continuity relevant, but they do not establish that every old incinerator is</ns0:t>
      </ns0:r>
      <ns0:r>
        <ns0:t xml:space="preserve"> </ns0:t>
      </ns0:r>
      <ns0:r>
        <ns0:t xml:space="preserve">technically or politically locked in.</ns0:t>
      </ns0:r>
    </ns0:p>
    <ns0:p>
      <ns0:pPr>
        <ns0:pStyle ns0:val="af"/>
      </ns0:pPr>
      <ns0:r>
        <ns0:t xml:space="preserve">This thesis uses that literature as a conceptual warning rather than a tested</ns0:t>
      </ns0:r>
      <ns0:r>
        <ns0:t xml:space="preserve"> </ns0:t>
      </ns0:r>
      <ns0:r>
        <ns0:t xml:space="preserve">causal theory. The workbooks do not observe investment deliberations, sunk</ns0:t>
      </ns0:r>
      <ns0:r>
        <ns0:t xml:space="preserve"> </ns0:t>
      </ns0:r>
      <ns0:r>
        <ns0:t xml:space="preserve">costs, procurement contracts, or political opposition. They also do not show</ns0:t>
      </ns0:r>
      <ns0:r>
        <ns0:t xml:space="preserve"> </ns0:t>
      </ns0:r>
      <ns0:r>
        <ns0:t xml:space="preserve">whether first reported generation was installed through an in-place retrofit, a</ns0:t>
      </ns0:r>
      <ns0:r>
        <ns0:t xml:space="preserve"> </ns0:t>
      </ns0:r>
      <ns0:r>
        <ns0:t xml:space="preserve">furnace replacement, a wider site redevelopment, or correction of a previous</ns0:t>
      </ns0:r>
      <ns0:r>
        <ns0:t xml:space="preserve"> </ns0:t>
      </ns0:r>
      <ns0:r>
        <ns0:t xml:space="preserve">record. Accordingly, the longitudinal unit is called a stable administrative</ns0:t>
      </ns0:r>
      <ns0:r>
        <ns0:t xml:space="preserve"> </ns0:t>
      </ns0:r>
      <ns0:r>
        <ns0:t xml:space="preserve">lineage, and large configuration changes create separate asset episodes. A</ns0:t>
      </ns0:r>
      <ns0:r>
        <ns0:t xml:space="preserve"> </ns0:t>
      </ns0:r>
      <ns0:r>
        <ns0:t xml:space="preserve">first-entry event means the first witnessed transition from no reported</ns0:t>
      </ns0:r>
      <ns0:r>
        <ns0:t xml:space="preserve"> </ns0:t>
      </ns0:r>
      <ns0:r>
        <ns0:t xml:space="preserve">generation to reported generation under a stated continuity rule; it is not</ns0:t>
      </ns0:r>
      <ns0:r>
        <ns0:t xml:space="preserve"> </ns0:t>
      </ns0:r>
      <ns0:r>
        <ns0:t xml:space="preserve">automatically labelled a retrofit.</ns0:t>
      </ns0:r>
    </ns0:p>
    <ns0:p>
      <ns0:pPr>
        <ns0:pStyle ns0:val="af"/>
      </ns0:pPr>
      <ns0:r>
        <ns0:t xml:space="preserve">This distinction explains why identity reconstruction is substantive. If a</ns0:t>
      </ns0:r>
      <ns0:r>
        <ns0:t xml:space="preserve"> </ns0:t>
      </ns0:r>
      <ns0:r>
        <ns0:t xml:space="preserve">national recoding is mistaken for facility replacement, apparent entry and exit</ns0:t>
      </ns0:r>
      <ns0:r>
        <ns0:t xml:space="preserve"> </ns0:t>
      </ns0:r>
      <ns0:r>
        <ns0:t xml:space="preserve">events will be manufactured by the database. If all records sharing a site name</ns0:t>
      </ns0:r>
      <ns0:r>
        <ns0:t xml:space="preserve"> </ns0:t>
      </ns0:r>
      <ns0:r>
        <ns0:t xml:space="preserve">are forced into one permanent asset, genuine replacement may be hidden. The</ns0:t>
      </ns0:r>
      <ns0:r>
        <ns0:t xml:space="preserve"> </ns0:t>
      </ns0:r>
      <ns0:r>
        <ns0:t xml:space="preserve">lineage and episode sensitivity analyses translate the general infrastructure</ns0:t>
      </ns0:r>
      <ns0:r>
        <ns0:t xml:space="preserve"> </ns0:t>
      </ns0:r>
      <ns0:r>
        <ns0:t xml:space="preserve">literature into a testable question: how much do transition inferences depend on</ns0:t>
      </ns0:r>
      <ns0:r>
        <ns0:t xml:space="preserve"> </ns0:t>
      </ns0:r>
      <ns0:r>
        <ns0:t xml:space="preserve">the continuity definition?</ns0:t>
      </ns0:r>
    </ns0:p>
    <ns0:bookmarkEnd ns0:id="19"/>
    <ns0:bookmarkStart ns0:id="20" ns0:name="X431855d2c36b675c3dfafcae550a13af1403951"/>
    <ns0:p>
      <ns0:pPr>
        <ns0:pStyle ns0:val="21"/>
      </ns0:pPr>
      <ns0:r>
        <ns0:t xml:space="preserve">2.5 Methodological comparators and adaptation</ns0:t>
      </ns0:r>
    </ns0:p>
    <ns0:p>
      <ns0:pPr>
        <ns0:pStyle ns0:val="FirstParagraph"/>
      </ns0:pPr>
      <ns0:r>
        <ns0:t xml:space="preserve">High-profile studies supply research logic, not a ready-made model. Cui et al.</ns0:t>
      </ns0:r>
      <ns0:r>
        <ns0:t xml:space="preserve"> </ns0:t>
      </ns0:r>
      <ns0:r>
        <ns0:t xml:space="preserve">(2026) foreground facility hierarchy, Liu et al. (2025) emphasize effectiveness</ns0:t>
      </ns0:r>
      <ns0:r>
        <ns0:t xml:space="preserve"> </ns0:t>
      </ns0:r>
      <ns0:r>
        <ns0:t xml:space="preserve">over expansion, and Han et al. (2025) place recovery beside other sustainability</ns0:t>
      </ns0:r>
      <ns0:r>
        <ns0:t xml:space="preserve"> </ns0:t>
      </ns0:r>
      <ns0:r>
        <ns0:t xml:space="preserve">dimensions. This thesis asks where hierarchy appears in Japan without estimating</ns0:t>
      </ns0:r>
      <ns0:r>
        <ns0:t xml:space="preserve"> </ns0:t>
      </ns0:r>
      <ns0:r>
        <ns0:t xml:space="preserve">an optimization frontier, city energy-carbon system, or pollutant outcomes.</ns0:t>
      </ns0:r>
    </ns0:p>
    <ns0:p>
      <ns0:pPr>
        <ns0:pStyle ns0:val="af"/>
      </ns0:pPr>
      <ns0:r>
        <ns0:t xml:space="preserve">Sasao (2018) supports repeated Japanese facility observations and explicit</ns0:t>
      </ns0:r>
      <ns0:r>
        <ns0:t xml:space="preserve"> </ns0:t>
      </ns0:r>
      <ns0:r>
        <ns0:t xml:space="preserve">output questions. Shino (2019) makes generation relative to waste input an</ns0:t>
      </ns0:r>
      <ns0:r>
        <ns0:t xml:space="preserve"> </ns0:t>
      </ns0:r>
      <ns0:r>
        <ns0:t xml:space="preserve">important observable. This thesis retains that observable but treats it as an</ns0:t>
      </ns0:r>
      <ns0:r>
        <ns0:t xml:space="preserve"> </ns0:t>
      </ns0:r>
      <ns0:r>
        <ns0:t xml:space="preserve">accounting intensity requiring decomposition.</ns0:t>
      </ns0:r>
    </ns0:p>
    <ns0:p>
      <ns0:pPr>
        <ns0:pStyle ns0:val="af"/>
      </ns0:pPr>
      <ns0:r>
        <ns0:t xml:space="preserve">Chen et al. (2012) and Yeh (2020) motivate separating activities within</ns0:t>
      </ns0:r>
      <ns0:r>
        <ns0:t xml:space="preserve"> </ns0:t>
      </ns0:r>
      <ns0:r>
        <ns0:t xml:space="preserve">operating plants. This study adds an entry risk set and uses component</ns0:t>
      </ns0:r>
      <ns0:r>
        <ns0:t xml:space="preserve"> </ns0:t>
      </ns0:r>
      <ns0:r>
        <ns0:t xml:space="preserve">regressions because the available fields do not support a comparable network or</ns0:t>
      </ns0:r>
      <ns0:r>
        <ns0:t xml:space="preserve"> </ns0:t>
      </ns0:r>
      <ns0:r>
        <ns0:t xml:space="preserve">revenue frontier across all years.</ns0:t>
      </ns0:r>
    </ns0:p>
    <ns0:p>
      <ns0:pPr>
        <ns0:pStyle ns0:val="af"/>
      </ns0:pPr>
      <ns0:r>
        <ns0:rPr>
          <ns0:b/>
          <ns0:bCs/>
        </ns0:rPr>
        <ns0:t xml:space="preserve">Table 1. Comparator gap matrix and transparent method adaptation</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jc ns0:val="left"/>
            </ns0:pPr>
            <ns0:r>
              <ns0:t xml:space="preserve">Comparator</ns0:t>
            </ns0:r>
          </ns0:p>
        </ns0:tc>
        <ns0:tc>
          <ns0:tcPr/>
          <ns0:p>
            <ns0:pPr>
              <ns0:pStyle ns0:val="Compact"/>
              <ns0:jc ns0:val="left"/>
            </ns0:pPr>
            <ns0:r>
              <ns0:t xml:space="preserve">Unit and time structure</ns0:t>
            </ns0:r>
          </ns0:p>
        </ns0:tc>
        <ns0:tc>
          <ns0:tcPr/>
          <ns0:p>
            <ns0:pPr>
              <ns0:pStyle ns0:val="Compact"/>
              <ns0:jc ns0:val="left"/>
            </ns0:pPr>
            <ns0:r>
              <ns0:t xml:space="preserve">Primary outcome</ns0:t>
            </ns0:r>
          </ns0:p>
        </ns0:tc>
        <ns0:tc>
          <ns0:tcPr/>
          <ns0:p>
            <ns0:pPr>
              <ns0:pStyle ns0:val="Compact"/>
              <ns0:jc ns0:val="left"/>
            </ns0:pPr>
            <ns0:r>
              <ns0:t xml:space="preserve">Longitudinal identity treatment</ns0:t>
            </ns0:r>
          </ns0:p>
        </ns0:tc>
        <ns0:tc>
          <ns0:tcPr/>
          <ns0:p>
            <ns0:pPr>
              <ns0:pStyle ns0:val="Compact"/>
              <ns0:jc ns0:val="left"/>
            </ns0:pPr>
            <ns0:r>
              <ns0:t xml:space="preserve">Gap retained for this thesis</ns0:t>
            </ns0:r>
          </ns0:p>
        </ns0:tc>
      </ns0:tr>
      <ns0:tr>
        <ns0:tc>
          <ns0:tcPr/>
          <ns0:p>
            <ns0:pPr>
              <ns0:pStyle ns0:val="Compact"/>
              <ns0:jc ns0:val="left"/>
            </ns0:pPr>
            <ns0:r>
              <ns0:t xml:space="preserve">Cui et al. (2026)</ns0:t>
            </ns0:r>
          </ns0:p>
        </ns0:tc>
        <ns0:tc>
          <ns0:tcPr/>
          <ns0:p>
            <ns0:pPr>
              <ns0:pStyle ns0:val="Compact"/>
              <ns0:jc ns0:val="left"/>
            </ns0:pPr>
            <ns0:r>
              <ns0:t xml:space="preserve">975 Chinese plants and 2,151 incinerators, centered on 2023 operations with scenarios to 2035</ns0:t>
            </ns0:r>
          </ns0:p>
        </ns0:tc>
        <ns0:tc>
          <ns0:tcPr/>
          <ns0:p>
            <ns0:pPr>
              <ns0:pStyle ns0:val="Compact"/>
              <ns0:jc ns0:val="left"/>
            </ns0:pPr>
            <ns0:r>
              <ns0:t xml:space="preserve">Energy-efficiency hierarchy and optimization</ns0:t>
            </ns0:r>
          </ns0:p>
        </ns0:tc>
        <ns0:tc>
          <ns0:tcPr/>
          <ns0:p>
            <ns0:pPr>
              <ns0:pStyle ns0:val="Compact"/>
              <ns0:jc ns0:val="left"/>
            </ns0:pPr>
            <ns0:r>
              <ns0:t xml:space="preserve">Plant/line operational database; first-entry histories are not the target</ns0:t>
            </ns0:r>
          </ns0:p>
        </ns0:tc>
        <ns0:tc>
          <ns0:tcPr/>
          <ns0:p>
            <ns0:pPr>
              <ns0:pStyle ns0:val="Compact"/>
              <ns0:jc ns0:val="left"/>
            </ns0:pPr>
            <ns0:r>
              <ns0:t xml:space="preserve">Test where hierarchy appears in Japan without importing an optimization frontier</ns0:t>
            </ns0:r>
          </ns0:p>
        </ns0:tc>
      </ns0:tr>
      <ns0:tr>
        <ns0:tc>
          <ns0:tcPr/>
          <ns0:p>
            <ns0:pPr>
              <ns0:pStyle ns0:val="Compact"/>
              <ns0:jc ns0:val="left"/>
            </ns0:pPr>
            <ns0:r>
              <ns0:t xml:space="preserve">Liu et al. (2025)</ns0:t>
            </ns0:r>
          </ns0:p>
        </ns0:tc>
        <ns0:tc>
          <ns0:tcPr/>
          <ns0:p>
            <ns0:pPr>
              <ns0:pStyle ns0:val="Compact"/>
              <ns0:jc ns0:val="left"/>
            </ns0:pPr>
            <ns0:r>
              <ns0:t xml:space="preserve">Chinese urban waste-energy-carbon systems</ns0:t>
            </ns0:r>
          </ns0:p>
        </ns0:tc>
        <ns0:tc>
          <ns0:tcPr/>
          <ns0:p>
            <ns0:pPr>
              <ns0:pStyle ns0:val="Compact"/>
              <ns0:jc ns0:val="left"/>
            </ns0:pPr>
            <ns0:r>
              <ns0:t xml:space="preserve">Effectiveness relative to continued capacity expansion</ns0:t>
            </ns0:r>
          </ns0:p>
        </ns0:tc>
        <ns0:tc>
          <ns0:tcPr/>
          <ns0:p>
            <ns0:pPr>
              <ns0:pStyle ns0:val="Compact"/>
              <ns0:jc ns0:val="left"/>
            </ns0:pPr>
            <ns0:r>
              <ns0:t xml:space="preserve">City-system development, not administrative facility linkage</ns0:t>
            </ns0:r>
          </ns0:p>
        </ns0:tc>
        <ns0:tc>
          <ns0:tcPr/>
          <ns0:p>
            <ns0:pPr>
              <ns0:pStyle ns0:val="Compact"/>
              <ns0:jc ns0:val="left"/>
            </ns0:pPr>
            <ns0:r>
              <ns0:t xml:space="preserve">Distinguish equipment diffusion from covered waste activity</ns0:t>
            </ns0:r>
          </ns0:p>
        </ns0:tc>
      </ns0:tr>
      <ns0:tr>
        <ns0:tc>
          <ns0:tcPr/>
          <ns0:p>
            <ns0:pPr>
              <ns0:pStyle ns0:val="Compact"/>
              <ns0:jc ns0:val="left"/>
            </ns0:pPr>
            <ns0:r>
              <ns0:t xml:space="preserve">Han et al. (2025)</ns0:t>
            </ns0:r>
          </ns0:p>
        </ns0:tc>
        <ns0:tc>
          <ns0:tcPr/>
          <ns0:p>
            <ns0:pPr>
              <ns0:pStyle ns0:val="Compact"/>
              <ns0:jc ns0:val="left"/>
            </ns0:pPr>
            <ns0:r>
              <ns0:t xml:space="preserve">Chinese incineration configurations and recovery outcomes</ns0:t>
            </ns0:r>
          </ns0:p>
        </ns0:tc>
        <ns0:tc>
          <ns0:tcPr/>
          <ns0:p>
            <ns0:pPr>
              <ns0:pStyle ns0:val="Compact"/>
              <ns0:jc ns0:val="left"/>
            </ns0:pPr>
            <ns0:r>
              <ns0:t xml:space="preserve">Pollutant control and resource recovery</ns0:t>
            </ns0:r>
          </ns0:p>
        </ns0:tc>
        <ns0:tc>
          <ns0:tcPr/>
          <ns0:p>
            <ns0:pPr>
              <ns0:pStyle ns0:val="Compact"/>
              <ns0:jc ns0:val="left"/>
            </ns0:pPr>
            <ns0:r>
              <ns0:t xml:space="preserve">Configuration comparison, not national lineage reconstruction</ns0:t>
            </ns0:r>
          </ns0:p>
        </ns0:tc>
        <ns0:tc>
          <ns0:tcPr/>
          <ns0:p>
            <ns0:pPr>
              <ns0:pStyle ns0:val="Compact"/>
              <ns0:jc ns0:val="left"/>
            </ns0:pPr>
            <ns0:r>
              <ns0:t xml:space="preserve">Keep electricity results separate from unobserved pollutant and lifecycle outcomes</ns0:t>
            </ns0:r>
          </ns0:p>
        </ns0:tc>
      </ns0:tr>
      <ns0:tr>
        <ns0:tc>
          <ns0:tcPr/>
          <ns0:p>
            <ns0:pPr>
              <ns0:pStyle ns0:val="Compact"/>
              <ns0:jc ns0:val="left"/>
            </ns0:pPr>
            <ns0:r>
              <ns0:t xml:space="preserve">Sasao (2018)</ns0:t>
            </ns0:r>
          </ns0:p>
        </ns0:tc>
        <ns0:tc>
          <ns0:tcPr/>
          <ns0:p>
            <ns0:pPr>
              <ns0:pStyle ns0:val="Compact"/>
              <ns0:jc ns0:val="left"/>
            </ns0:pPr>
            <ns0:r>
              <ns0:t xml:space="preserve">Repeated Japanese incinerator observations</ns0:t>
            </ns0:r>
          </ns0:p>
        </ns0:tc>
        <ns0:tc>
          <ns0:tcPr/>
          <ns0:p>
            <ns0:pPr>
              <ns0:pStyle ns0:val="Compact"/>
              <ns0:jc ns0:val="left"/>
            </ns0:pPr>
            <ns0:r>
              <ns0:t xml:space="preserve">Policy, technology, heat, and electricity associations</ns0:t>
            </ns0:r>
          </ns0:p>
        </ns0:tc>
        <ns0:tc>
          <ns0:tcPr/>
          <ns0:p>
            <ns0:pPr>
              <ns0:pStyle ns0:val="Compact"/>
              <ns0:jc ns0:val="left"/>
            </ns0:pPr>
            <ns0:r>
              <ns0:t xml:space="preserve">Facility repetition is used, but coding-regime breaks and first entry are not the estimand</ns0:t>
            </ns0:r>
          </ns0:p>
        </ns0:tc>
        <ns0:tc>
          <ns0:tcPr/>
          <ns0:p>
            <ns0:pPr>
              <ns0:pStyle ns0:val="Compact"/>
              <ns0:jc ns0:val="left"/>
            </ns0:pPr>
            <ns0:r>
              <ns0:t xml:space="preserve">Reconstruct transparent administrative lineages and define an explicit non-generator risk set</ns0:t>
            </ns0:r>
          </ns0:p>
        </ns0:tc>
      </ns0:tr>
      <ns0:tr>
        <ns0:tc>
          <ns0:tcPr/>
          <ns0:p>
            <ns0:pPr>
              <ns0:pStyle ns0:val="Compact"/>
              <ns0:jc ns0:val="left"/>
            </ns0:pPr>
            <ns0:r>
              <ns0:t xml:space="preserve">Shino (2019)</ns0:t>
            </ns0:r>
          </ns0:p>
        </ns0:tc>
        <ns0:tc>
          <ns0:tcPr/>
          <ns0:p>
            <ns0:pPr>
              <ns0:pStyle ns0:val="Compact"/>
              <ns0:jc ns0:val="left"/>
            </ns0:pPr>
            <ns0:r>
              <ns0:t xml:space="preserve">22 Tokyo incinerators, FY2012-FY2017</ns0:t>
            </ns0:r>
          </ns0:p>
        </ns0:tc>
        <ns0:tc>
          <ns0:tcPr/>
          <ns0:p>
            <ns0:pPr>
              <ns0:pStyle ns0:val="Compact"/>
              <ns0:jc ns0:val="left"/>
            </ns0:pPr>
            <ns0:r>
              <ns0:t xml:space="preserve">Generation relative to waste input and combustion conditions</ns0:t>
            </ns0:r>
          </ns0:p>
        </ns0:tc>
        <ns0:tc>
          <ns0:tcPr/>
          <ns0:p>
            <ns0:pPr>
              <ns0:pStyle ns0:val="Compact"/>
              <ns0:jc ns0:val="left"/>
            </ns0:pPr>
            <ns0:r>
              <ns0:t xml:space="preserve">Operating-plant comparison rather than national transitions</ns0:t>
            </ns0:r>
          </ns0:p>
        </ns0:tc>
        <ns0:tc>
          <ns0:tcPr/>
          <ns0:p>
            <ns0:pPr>
              <ns0:pStyle ns0:val="Compact"/>
              <ns0:jc ns0:val="left"/>
            </ns0:pPr>
            <ns0:r>
              <ns0:t xml:space="preserve">Decompose gross MWh/t instead of treating it as one independent score</ns0:t>
            </ns0:r>
          </ns0:p>
        </ns0:tc>
      </ns0:tr>
      <ns0:tr>
        <ns0:tc>
          <ns0:tcPr/>
          <ns0:p>
            <ns0:pPr>
              <ns0:pStyle ns0:val="Compact"/>
              <ns0:jc ns0:val="left"/>
            </ns0:pPr>
            <ns0:r>
              <ns0:t xml:space="preserve">Chen et al. (2012); Yeh (2020)</ns0:t>
            </ns0:r>
          </ns0:p>
        </ns0:tc>
        <ns0:tc>
          <ns0:tcPr/>
          <ns0:p>
            <ns0:pPr>
              <ns0:pStyle ns0:val="Compact"/>
              <ns0:jc ns0:val="left"/>
            </ns0:pPr>
            <ns0:r>
              <ns0:t xml:space="preserve">Operating incineration plants</ns0:t>
            </ns0:r>
          </ns0:p>
        </ns0:tc>
        <ns0:tc>
          <ns0:tcPr/>
          <ns0:p>
            <ns0:pPr>
              <ns0:pStyle ns0:val="Compact"/>
              <ns0:jc ns0:val="left"/>
            </ns0:pPr>
            <ns0:r>
              <ns0:t xml:space="preserve">Multi-activity technical or revenue performance</ns0:t>
            </ns0:r>
          </ns0:p>
        </ns0:tc>
        <ns0:tc>
          <ns0:tcPr/>
          <ns0:p>
            <ns0:pPr>
              <ns0:pStyle ns0:val="Compact"/>
              <ns0:jc ns0:val="left"/>
            </ns0:pPr>
            <ns0:r>
              <ns0:t xml:space="preserve">Persistent plant heterogeneity is modeled within performance samples</ns0:t>
            </ns0:r>
          </ns0:p>
        </ns0:tc>
        <ns0:tc>
          <ns0:tcPr/>
          <ns0:p>
            <ns0:pPr>
              <ns0:pStyle ns0:val="Compact"/>
              <ns0:jc ns0:val="left"/>
            </ns0:pPr>
            <ns0:r>
              <ns0:t xml:space="preserve">Use observable components because consistent cost and frontier inputs are unavailable</ns0:t>
            </ns0:r>
          </ns0:p>
        </ns0:tc>
      </ns0:tr>
    </ns0:tbl>
    <ns0:p>
      <ns0:pPr>
        <ns0:pStyle ns0:val="af"/>
      </ns0:pPr>
      <ns0:r>
        <ns0:t xml:space="preserve">The adaptation changes the unit and estimands to fit Japanese administrative</ns0:t>
      </ns0:r>
      <ns0:r>
        <ns0:t xml:space="preserve"> </ns0:t>
      </ns0:r>
      <ns0:r>
        <ns0:t xml:space="preserve">data. Cui et al. supply the hierarchy logic, Sasao supplies the closest</ns0:t>
      </ns0:r>
      <ns0:r>
        <ns0:t xml:space="preserve"> </ns0:t>
      </ns0:r>
      <ns0:r>
        <ns0:t xml:space="preserve">Japan-wide repeated-facility precedent, Shino supplies the transparent gross</ns0:t>
      </ns0:r>
      <ns0:r>
        <ns0:t xml:space="preserve"> </ns0:t>
      </ns0:r>
      <ns0:r>
        <ns0:t xml:space="preserve">generation-per-input measure, and component-performance studies supply the</ns0:t>
      </ns0:r>
      <ns0:r>
        <ns0:t xml:space="preserve"> </ns0:t>
      </ns0:r>
      <ns0:r>
        <ns0:t xml:space="preserve">reason to separate activities. This thesis does not copy their outcome models.</ns0:t>
      </ns0:r>
      <ns0:r>
        <ns0:t xml:space="preserve"> </ns0:t>
      </ns0:r>
      <ns0:r>
        <ns0:t xml:space="preserve">It reconstructs the longitudinal comparison population first and then asks</ns0:t>
      </ns0:r>
      <ns0:r>
        <ns0:t xml:space="preserve"> </ns0:t>
      </ns0:r>
      <ns0:r>
        <ns0:t xml:space="preserve">questions that those designs leave unresolved.</ns0:t>
      </ns0:r>
    </ns0:p>
    <ns0:bookmarkEnd ns0:id="20"/>
    <ns0:bookmarkStart ns0:id="21" ns0:name="synthesis-research-gap-and-contribution"/>
    <ns0:p>
      <ns0:pPr>
        <ns0:pStyle ns0:val="21"/>
      </ns0:pPr>
      <ns0:r>
        <ns0:t xml:space="preserve">2.6 Synthesis, research gap, and contribution</ns0:t>
      </ns0:r>
    </ns0:p>
    <ns0:p>
      <ns0:pPr>
        <ns0:pStyle ns0:val="FirstParagraph"/>
      </ns0:pPr>
      <ns0:r>
        <ns0:t xml:space="preserve">The reviewed literature provides strong but separated accounts of the problem.</ns0:t>
      </ns0:r>
      <ns0:r>
        <ns0:t xml:space="preserve"> </ns0:t>
      </ns0:r>
      <ns0:r>
        <ns0:t xml:space="preserve">Waste-system studies define environmental and hierarchy boundaries. Japan</ns0:t>
      </ns0:r>
      <ns0:r>
        <ns0:t xml:space="preserve"> </ns0:t>
      </ns0:r>
      <ns0:r>
        <ns0:t xml:space="preserve">studies document policy, technology, heat use, integrated recovery, and</ns0:t>
      </ns0:r>
      <ns0:r>
        <ns0:t xml:space="preserve"> </ns0:t>
      </ns0:r>
      <ns0:r>
        <ns0:t xml:space="preserve">facility-level output. Performance studies distinguish engineering indicators</ns0:t>
      </ns0:r>
      <ns0:r>
        <ns0:t xml:space="preserve"> </ns0:t>
      </ns0:r>
      <ns0:r>
        <ns0:t xml:space="preserve">from peer-relative efficiency. Transition research explains why infrastructure</ns0:t>
      </ns0:r>
      <ns0:r>
        <ns0:t xml:space="preserve"> </ns0:t>
      </ns0:r>
      <ns0:r>
        <ns0:t xml:space="preserve">continuity and institutional context may matter. Close empirical comparators</ns0:t>
      </ns0:r>
      <ns0:r>
        <ns0:t xml:space="preserve"> </ns0:t>
      </ns0:r>
      <ns0:r>
        <ns0:t xml:space="preserve">show the value of repeated facility observations and decomposition. Each strand</ns0:t>
      </ns0:r>
      <ns0:r>
        <ns0:t xml:space="preserve"> </ns0:t>
      </ns0:r>
      <ns0:r>
        <ns0:t xml:space="preserve">answers a necessary part of the problem, but their units and outcomes differ.</ns0:t>
      </ns0:r>
    </ns0:p>
    <ns0:p>
      <ns0:pPr>
        <ns0:pStyle ns0:val="af"/>
      </ns0:pPr>
      <ns0:r>
        <ns0:t xml:space="preserve">The novelty claim is substantive before it is procedural. First, a facility</ns0:t>
      </ns0:r>
      <ns0:r>
        <ns0:t xml:space="preserve"> </ns0:t>
      </ns0:r>
      <ns0:r>
        <ns0:t xml:space="preserve">count understates how much observed activity is already covered: the all-record</ns0:t>
      </ns0:r>
      <ns0:r>
        <ns0:t xml:space="preserve"> </ns0:t>
      </ns0:r>
      <ns0:r>
        <ns0:t xml:space="preserve">participation rate remains below one half even though positive-output facilities</ns0:t>
      </ns0:r>
      <ns0:r>
        <ns0:t xml:space="preserve"> </ns0:t>
      </ns0:r>
      <ns0:r>
        <ns0:t xml:space="preserve">process most recorded waste. The much smaller increase among endpoint-common</ns0:t>
      </ns0:r>
      <ns0:r>
        <ns0:t xml:space="preserve"> </ns0:t>
      </ns0:r>
      <ns0:r>
        <ns0:t xml:space="preserve">lineages is consistent with a substantial contribution from changing observed</ns0:t>
      </ns0:r>
      <ns0:r>
        <ns0:t xml:space="preserve"> </ns0:t>
      </ns0:r>
      <ns0:r>
        <ns0:t xml:space="preserve">fleet composition rather than widespread within-lineage conversion; it is not</ns0:t>
      </ns0:r>
      <ns0:r>
        <ns0:t xml:space="preserve"> </ns0:t>
      </ns0:r>
      <ns0:r>
        <ns0:t xml:space="preserve">a formal additive decomposition.</ns0:t>
      </ns0:r>
      <ns0:r>
        <ns0:t xml:space="preserve"> </ns0:t>
      </ns0:r>
      <ns0:r>
        <ns0:t xml:space="preserve">Second, first reported entry is not evenly spread</ns0:t>
      </ns0:r>
      <ns0:r>
        <ns0:t xml:space="preserve"> </ns0:t>
      </ns0:r>
      <ns0:r>
        <ns0:t xml:space="preserve">across non-generators; it is scale-associated even after sparse-event,</ns0:t>
      </ns0:r>
      <ns0:r>
        <ns0:t xml:space="preserve"> </ns0:t>
      </ns0:r>
      <ns0:r>
        <ns0:t xml:space="preserve">continuity, functional-form, reporting-state, geographic, and event-influence</ns0:t>
      </ns0:r>
      <ns0:r>
        <ns0:t xml:space="preserve"> </ns0:t>
      </ns0:r>
      <ns0:r>
        <ns0:t xml:space="preserve">checks. Third, the apparent start-cohort hierarchy in gross MWh/t is expressed</ns0:t>
      </ns0:r>
      <ns0:r>
        <ns0:t xml:space="preserve"> </ns0:t>
      </ns0:r>
      <ns0:r>
        <ns0:t xml:space="preserve">in a pattern consistent with a substantial installed-sizing contribution rather</ns0:t>
      </ns0:r>
      <ns0:r>
        <ns0:t xml:space="preserve"> </ns0:t>
      </ns0:r>
      <ns0:r>
        <ns0:t xml:space="preserve">than uniformly better annual use. These three reinterpretations change what the</ns0:t>
      </ns0:r>
      <ns0:r>
        <ns0:t xml:space="preserve"> </ns0:t>
      </ns0:r>
      <ns0:r>
        <ns0:t xml:space="preserve">familiar national statistics mean.</ns0:t>
      </ns0:r>
    </ns0:p>
    <ns0:p>
      <ns0:pPr>
        <ns0:pStyle ns0:val="af"/>
      </ns0:pPr>
      <ns0:r>
        <ns0:t xml:space="preserve">Within the literature reviewed for this thesis, the bounded integration claim is</ns0:t>
      </ns0:r>
      <ns0:r>
        <ns0:t xml:space="preserve"> </ns0:t>
      </ns0:r>
      <ns0:r>
        <ns0:t xml:space="preserve">that these reinterpretations have not been connected for Japan over</ns0:t>
      </ns0:r>
      <ns0:r>
        <ns0:t xml:space="preserve"> </ns0:t>
      </ns0:r>
      <ns0:r>
        <ns0:t xml:space="preserve">FY2005-FY2024 using deterministically reconstructed lineages across coding breaks, denominator-matched</ns0:t>
      </ns0:r>
      <ns0:r>
        <ns0:t xml:space="preserve"> </ns0:t>
      </ns0:r>
      <ns0:r>
        <ns0:t xml:space="preserve">coverage, an explicit first-entry risk set, and an exact engineering identity.</ns0:t>
      </ns0:r>
      <ns0:r>
        <ns0:t xml:space="preserve"> </ns0:t>
      </ns0:r>
      <ns0:r>
        <ns0:t xml:space="preserve">This is not a systematic-review claim and does not assert that record linkage,</ns0:t>
      </ns0:r>
      <ns0:r>
        <ns0:t xml:space="preserve"> </ns0:t>
      </ns0:r>
      <ns0:r>
        <ns0:t xml:space="preserve">coverage ratios, Firth regression, or component identities are individually new.</ns0:t>
      </ns0:r>
      <ns0:r>
        <ns0:t xml:space="preserve"> </ns0:t>
      </ns0:r>
      <ns0:r>
        <ns0:t xml:space="preserve">Sasao (2018), Shino (2019), and the recent methodological comparators establish</ns0:t>
      </ns0:r>
      <ns0:r>
        <ns0:t xml:space="preserve"> </ns0:t>
      </ns0:r>
      <ns0:r>
        <ns0:t xml:space="preserve">the foundations; the contribution is the resulting diagnosis under one traceable set</ns0:t>
      </ns0:r>
      <ns0:r>
        <ns0:t xml:space="preserve"> </ns0:t>
      </ns0:r>
      <ns0:r>
        <ns0:t xml:space="preserve">of estimands.</ns0:t>
      </ns0:r>
    </ns0:p>
    <ns0:p>
      <ns0:pPr>
        <ns0:pStyle ns0:val="af"/>
      </ns0:pPr>
      <ns0:r>
        <ns0:rPr>
          <ns0:b/>
          <ns0:bCs/>
        </ns0:rPr>
        <ns0:t xml:space="preserve">What this design changes.</ns0:t>
      </ns0:r>
      <ns0:r>
        <ns0:t xml:space="preserve"> </ns0:t>
      </ns0:r>
      <ns0:r>
        <ns0:t xml:space="preserve">Without the three-margin separation, the same</ns0:t>
      </ns0:r>
      <ns0:r>
        <ns0:t xml:space="preserve"> </ns0:t>
      </ns0:r>
      <ns0:r>
        <ns0:t xml:space="preserve">administrative records can support three tempting but incomplete conclusions:</ns0:t>
      </ns0:r>
      <ns0:r>
        <ns0:t xml:space="preserve"> </ns0:t>
      </ns0:r>
      <ns0:r>
        <ns0:t xml:space="preserve">that participation below one half means little waste is covered, that rising</ns0:t>
      </ns0:r>
      <ns0:r>
        <ns0:t xml:space="preserve"> </ns0:t>
      </ns0:r>
      <ns0:r>
        <ns0:t xml:space="preserve">participation mainly represents conversion among incumbent facilities, and</ns0:t>
      </ns0:r>
      <ns0:r>
        <ns0:t xml:space="preserve"> </ns0:t>
      </ns0:r>
      <ns0:r>
        <ns0:t xml:space="preserve">that higher gross MWh/t means uniformly better annual operation. The thesis</ns0:t>
      </ns0:r>
      <ns0:r>
        <ns0:t xml:space="preserve"> </ns0:t>
      </ns0:r>
      <ns0:r>
        <ns0:t xml:space="preserve">tests each interpretation against the denominator, continuity rule, or</ns0:t>
      </ns0:r>
      <ns0:r>
        <ns0:t xml:space="preserve"> </ns0:t>
      </ns0:r>
      <ns0:r>
        <ns0:t xml:space="preserve">engineering component it omits. Coverage, transition, and conditional</ns0:t>
      </ns0:r>
      <ns0:r>
        <ns0:t xml:space="preserve"> </ns0:t>
      </ns0:r>
      <ns0:r>
        <ns0:t xml:space="preserve">generator structure therefore operate as complementary diagnostics, not</ns0:t>
      </ns0:r>
      <ns0:r>
        <ns0:t xml:space="preserve"> </ns0:t>
      </ns0:r>
      <ns0:r>
        <ns0:t xml:space="preserve">substitutes for one another and not a causal policy evaluation.</ns0:t>
      </ns0:r>
    </ns0:p>
    <ns0:bookmarkEnd ns0:id="21"/>
    <ns0:bookmarkEnd ns0:id="22"/>
    <ns0:bookmarkStart ns0:id="40" ns0:name="methodology"/>
    <ns0:p>
      <ns0:pPr>
        <ns0:pStyle ns0:val="1"/>
      </ns0:pPr>
      <ns0:r>
        <ns0:t xml:space="preserve">3. Methodology</ns0:t>
      </ns0:r>
    </ns0:p>
    <ns0:bookmarkStart ns0:id="23" ns0:name="Xcc4f0ecc1c3ac1c601e9c7bb07ce981ed327d51"/>
    <ns0:p>
      <ns0:pPr>
        <ns0:pStyle ns0:val="21"/>
      </ns0:pPr>
      <ns0:r>
        <ns0:t xml:space="preserve">3.1 Source workbooks and recoverable provenance</ns0:t>
      </ns0:r>
    </ns0:p>
    <ns0:p>
      <ns0:pPr>
        <ns0:pStyle ns0:val="FirstParagraph"/>
      </ns0:pPr>
      <ns0:r>
        <ns0:t xml:space="preserve">The source is the Ministry of the Environment Japan General Waste Treatment</ns0:t>
      </ns0:r>
      <ns0:r>
        <ns0:t xml:space="preserve"> </ns0:t>
      </ns0:r>
      <ns0:r>
        <ns0:t xml:space="preserve">Survey facility workbook series, also distributed through the Japanese official</ns0:t>
      </ns0:r>
      <ns0:r>
        <ns0:t xml:space="preserve"> </ns0:t>
      </ns0:r>
      <ns0:r>
        <ns0:t xml:space="preserve">statistics system (e-Stat, n.d.; Ministry of the Environment Japan, 2026). The</ns0:t>
      </ns0:r>
      <ns0:r>
        <ns0:t xml:space="preserve"> </ns0:t>
      </ns0:r>
      <ns0:r>
        <ns0:t xml:space="preserve">study covers 20 fiscal years, FY2005-FY2024. For each year, the data-processing procedure</ns0:t>
      </ns0:r>
      <ns0:r>
        <ns0:t xml:space="preserve"> </ns0:t>
      </ns0:r>
      <ns0:r>
        <ns0:t xml:space="preserve">reads the first workbook sheet and searches the first six spreadsheet rows for</ns0:t>
      </ns0:r>
      <ns0:r>
        <ns0:t xml:space="preserve"> </ns0:t>
      </ns0:r>
      <ns0:r>
        <ns0:t xml:space="preserve">recognized Japanese header terms. The resulting standardized fields include</ns0:t>
      </ns0:r>
      <ns0:r>
        <ns0:t xml:space="preserve"> </ns0:t>
      </ns0:r>
      <ns0:r>
        <ns0:t xml:space="preserve">facility and municipality information, reported start year, waste-processing</ns0:t>
      </ns0:r>
      <ns0:r>
        <ns0:t xml:space="preserve"> </ns0:t>
      </ns0:r>
      <ns0:r>
        <ns0:t xml:space="preserve">design capacity, annual throughput, furnace and facility attributes, installed</ns0:t>
      </ns0:r>
      <ns0:r>
        <ns0:t xml:space="preserve"> </ns0:t>
      </ns0:r>
      <ns0:r>
        <ns0:t xml:space="preserve">electrical capacity, and gross electricity generated.</ns0:t>
      </ns0:r>
    </ns0:p>
    <ns0:p>
      <ns0:pPr>
        <ns0:pStyle ns0:val="af"/>
      </ns0:pPr>
      <ns0:r>
        <ns0:t xml:space="preserve">The provenance audit records all 20 workbooks, their filenames, byte sizes,</ns0:t>
      </ns0:r>
      <ns0:r>
        <ns0:t xml:space="preserve"> </ns0:t>
      </ns0:r>
      <ns0:r>
        <ns0:t xml:space="preserve">256-bit Secure Hash Algorithm (SHA-256) hashes, parsed sheet names, detected</ns0:t>
      </ns0:r>
      <ns0:r>
        <ns0:t xml:space="preserve"> </ns0:t>
      </ns0:r>
      <ns0:r>
        <ns0:t xml:space="preserve">header rows, and final field</ns0:t>
      </ns0:r>
      <ns0:r>
        <ns0:t xml:space="preserve"> </ns0:t>
      </ns0:r>
      <ns0:r>
        <ns0:t xml:space="preserve">mappings. The files total 15,158,836 bytes and have 20 distinct hashes. Seventeen</ns0:t>
      </ns0:r>
      <ns0:r>
        <ns0:t xml:space="preserve"> </ns0:t>
      </ns0:r>
      <ns0:r>
        <ns0:t xml:space="preserve">standardized fields are detected in the older workbooks; 19 are detected from</ns0:t>
      </ns0:r>
      <ns0:r>
        <ns0:t xml:space="preserve"> </ns0:t>
      </ns0:r>
      <ns0:r>
        <ns0:t xml:space="preserve">FY2018 onward. Sold-electricity and sales-revenue fields are not detected for</ns0:t>
      </ns0:r>
      <ns0:r>
        <ns0:t xml:space="preserve"> </ns0:t>
      </ns0:r>
      <ns0:r>
        <ns0:t xml:space="preserve">FY2005-FY2017, which is one reason the outcome is gross generation rather than</ns0:t>
      </ns0:r>
      <ns0:r>
        <ns0:t xml:space="preserve"> </ns0:t>
      </ns0:r>
      <ns0:r>
        <ns0:t xml:space="preserve">net export or revenue. Each workbook is identified by its filename, byte size, parsed sheet, detected header row, field mapping, and SHA-256 hash. The original download timestamps were not recorded, so the hashes identify the files used in this study but do not reconstruct the publisher’s full file history.</ns0:t>
      </ns0:r>
    </ns0:p>
    <ns0:p>
      <ns0:pPr>
        <ns0:pStyle ns0:val="af"/>
      </ns0:pPr>
      <ns0:r>
        <ns0:t xml:space="preserve">Parsing yields 23,599 raw rows. Six rows are exact duplicates of another source</ns0:t>
      </ns0:r>
      <ns0:r>
        <ns0:t xml:space="preserve"> </ns0:t>
      </ns0:r>
      <ns0:r>
        <ns0:t xml:space="preserve">record and are collapsed before identity resolution, leaving 23,593 unique</ns0:t>
      </ns0:r>
      <ns0:r>
        <ns0:t xml:space="preserve"> </ns0:t>
      </ns0:r>
      <ns0:r>
        <ns0:t xml:space="preserve">facility-year records. Derived age is fiscal year minus reported start year.</ns0:t>
      </ns0:r>
      <ns0:r>
        <ns0:t xml:space="preserve"> </ns0:t>
      </ns0:r>
      <ns0:r>
        <ns0:t xml:space="preserve">Thirty-six source ages are missing and 355 are negative. Negative values are</ns0:t>
      </ns0:r>
      <ns0:r>
        <ns0:t xml:space="preserve"> </ns0:t>
      </ns0:r>
      <ns0:r>
        <ns0:t xml:space="preserve">converted to missing for age-dependent analysis rather than set to zero.</ns0:t>
      </ns0:r>
      <ns0:r>
        <ns0:t xml:space="preserve"> </ns0:t>
      </ns0:r>
      <ns0:r>
        <ns0:t xml:space="preserve">Waste-processing utilization is annual throughput divided by 365 times design</ns0:t>
      </ns0:r>
      <ns0:r>
        <ns0:t xml:space="preserve"> </ns0:t>
      </ns0:r>
      <ns0:r>
        <ns0:t xml:space="preserve">capacity. Installed generation is indicated by reported electrical capacity</ns0:t>
      </ns0:r>
      <ns0:r>
        <ns0:t xml:space="preserve"> </ns0:t>
      </ns0:r>
      <ns0:r>
        <ns0:t xml:space="preserve">greater than zero.</ns0:t>
      </ns0:r>
    </ns0:p>
    <ns0:bookmarkEnd ns0:id="23"/>
    <ns0:bookmarkStart ns0:id="24" ns0:name="X726d15f0b812e20803b235196461219b51a104a"/>
    <ns0:p>
      <ns0:pPr>
        <ns0:pStyle ns0:val="21"/>
      </ns0:pPr>
      <ns0:r>
        <ns0:t xml:space="preserve">3.2 Stable administrative lineages and asset episodes</ns0:t>
      </ns0:r>
    </ns0:p>
    <ns0:p>
      <ns0:pPr>
        <ns0:pStyle ns0:val="FirstParagraph"/>
      </ns0:pPr>
      <ns0:r>
        <ns0:t xml:space="preserve">Official facility codes cannot support the longitudinal design by themselves.</ns0:t>
      </ns0:r>
      <ns0:r>
        <ns0:t xml:space="preserve"> </ns0:t>
      </ns0:r>
      <ns0:r>
        <ns0:t xml:space="preserve">All 3,716 rows in FY2010-FY2012 lack a code. Between FY2019 and FY2020, both</ns0:t>
      </ns0:r>
      <ns0:r>
        <ns0:t xml:space="preserve"> </ns0:t>
      </ns0:r>
      <ns0:r>
        <ns0:t xml:space="preserve">years contain codes, yet the sets have zero overlap. The latter break is a</ns0:t>
      </ns0:r>
      <ns0:r>
        <ns0:t xml:space="preserve"> </ns0:t>
      </ns0:r>
      <ns0:r>
        <ns0:t xml:space="preserve">complete recode, not evidence that the entire fleet was replaced. Across that</ns0:t>
      </ns0:r>
      <ns0:r>
        <ns0:t xml:space="preserve"> </ns0:t>
      </ns0:r>
      <ns0:r>
        <ns0:t xml:space="preserve">transition, the identity resolver restores 1,064 adjacent-year lineage links,</ns0:t>
      </ns0:r>
      <ns0:r>
        <ns0:t xml:space="preserve"> </ns0:t>
      </ns0:r>
      <ns0:r>
        <ns0:t xml:space="preserve">equivalent to 97.3% of FY2019 records. Across the longer FY2009-FY2013 bridge,</ns0:t>
      </ns0:r>
      <ns0:r>
        <ns0:t xml:space="preserve"> </ns0:t>
      </ns0:r>
      <ns0:r>
        <ns0:t xml:space="preserve">882 official codes overlap while 1,135 stable lineages are linked.</ns0:t>
      </ns0:r>
    </ns0:p>
    <ns0:p>
      <ns0:pPr>
        <ns0:pStyle ns0:val="af"/>
      </ns0:pPr>
      <ns0:r>
        <ns0:t xml:space="preserve">The resolver therefore constructs a</ns0:t>
      </ns0:r>
      <ns0:r>
        <ns0:t xml:space="preserve"> </ns0:t>
      </ns0:r>
      <ns0:r>
        <ns0:rPr>
          <ns0:i/>
          <ns0:iCs/>
        </ns0:rPr>
        <ns0:t xml:space="preserve">stable administrative lineage</ns0:t>
      </ns0:r>
      <ns0:r>
        <ns0:t xml:space="preserve">: a sequence</ns0:t>
      </ns0:r>
      <ns0:r>
        <ns0:t xml:space="preserve"> </ns0:t>
      </ns0:r>
      <ns0:r>
        <ns0:t xml:space="preserve">of records judged to describe the same continuing administrative facility or</ns0:t>
      </ns0:r>
      <ns0:r>
        <ns0:t xml:space="preserve"> </ns0:t>
      </ns0:r>
      <ns0:r>
        <ns0:t xml:space="preserve">site history. It is not a claim that ownership, buildings, furnaces, or other</ns0:t>
      </ns0:r>
      <ns0:r>
        <ns0:t xml:space="preserve"> </ns0:t>
      </ns0:r>
      <ns0:r>
        <ns0:t xml:space="preserve">physical assets remain unchanged. The algorithm is deterministic and proceeds</ns0:t>
      </ns0:r>
      <ns0:r>
        <ns0:t xml:space="preserve"> </ns0:t>
      </ns0:r>
      <ns0:r>
        <ns0:t xml:space="preserve">as follows.</ns0:t>
      </ns0:r>
    </ns0:p>
    <ns0:p>
      <ns0:pPr>
        <ns0:pStyle ns0:val="Compact"/>
        <ns0:numPr>
          <ns0:ilvl ns0:val="0"/>
          <ns0:numId ns0:val="1001"/>
        </ns0:numPr>
      </ns0:pPr>
      <ns0:r>
        <ns0:t xml:space="preserve">Text and identifiers are normalized conservatively, including Unicode form,</ns0:t>
      </ns0:r>
      <ns0:r>
        <ns0:t xml:space="preserve"> </ns0:t>
      </ns0:r>
      <ns0:r>
        <ns0:t xml:space="preserve">spacing, punctuation, and numeric-code formatting. A complete standardized</ns0:t>
      </ns0:r>
      <ns0:r>
        <ns0:t xml:space="preserve"> </ns0:t>
      </ns0:r>
      <ns0:r>
        <ns0:t xml:space="preserve">row fingerprint identifies exact duplicate records, which are collapsed</ns0:t>
      </ns0:r>
      <ns0:r>
        <ns0:t xml:space="preserve"> </ns0:t>
      </ns0:r>
      <ns0:r>
        <ns0:t xml:space="preserve">before matching.</ns0:t>
      </ns0:r>
    </ns0:p>
    <ns0:p>
      <ns0:pPr>
        <ns0:pStyle ns0:val="Compact"/>
        <ns0:numPr>
          <ns0:ilvl ns0:val="0"/>
          <ns0:numId ns0:val="1001"/>
        </ns0:numPr>
      </ns0:pPr>
      <ns0:r>
        <ns0:t xml:space="preserve">Records are compared only within prefecture. Candidate evidence combines</ns0:t>
      </ns0:r>
      <ns0:r>
        <ns0:t xml:space="preserve"> </ns0:t>
      </ns0:r>
      <ns0:r>
        <ns0:t xml:space="preserve">normalized facility name, municipality, reported start year,</ns0:t>
      </ns0:r>
      <ns0:r>
        <ns0:t xml:space="preserve"> </ns0:t>
      </ns0:r>
      <ns0:r>
        <ns0:t xml:space="preserve">waste-processing capacity, furnace count, facility type, and the annual</ns0:t>
      </ns0:r>
      <ns0:r>
        <ns0:t xml:space="preserve"> </ns0:t>
      </ns0:r>
      <ns0:r>
        <ns0:t xml:space="preserve">official code. Code agreement is supporting evidence, but contradictory name</ns0:t>
      </ns0:r>
      <ns0:r>
        <ns0:t xml:space="preserve"> </ns0:t>
      </ns0:r>
      <ns0:r>
        <ns0:t xml:space="preserve">and configuration evidence can veto a code match.</ns0:t>
      </ns0:r>
    </ns0:p>
    <ns0:p>
      <ns0:pPr>
        <ns0:pStyle ns0:val="Compact"/>
        <ns0:numPr>
          <ns0:ilvl ns0:val="0"/>
          <ns0:numId ns0:val="1001"/>
        </ns0:numPr>
      </ns0:pPr>
      <ns0:r>
        <ns0:t xml:space="preserve">Adjacent fiscal years are resolved before gaps, preventing an older history</ns0:t>
      </ns0:r>
      <ns0:r>
        <ns0:t xml:space="preserve"> </ns0:t>
      </ns0:r>
      <ns0:r>
        <ns0:t xml:space="preserve">from winning a tie over an otherwise equivalent immediately prior record.</ns0:t>
      </ns0:r>
      <ns0:r>
        <ns0:t xml:space="preserve"> </ns0:t>
      </ns0:r>
      <ns0:r>
        <ns0:t xml:space="preserve">Short gaps of up to four years are considered afterward. Within each</ns0:t>
      </ns0:r>
      <ns0:r>
        <ns0:t xml:space="preserve"> </ns0:t>
      </ns0:r>
      <ns0:r>
        <ns0:t xml:space="preserve">prefecture-year problem, one-to-one global assignment prevents one prior</ns0:t>
      </ns0:r>
      <ns0:r>
        <ns0:t xml:space="preserve"> </ns0:t>
      </ns0:r>
      <ns0:r>
        <ns0:t xml:space="preserve">record from being assigned to multiple current records.</ns0:t>
      </ns0:r>
    </ns0:p>
    <ns0:p>
      <ns0:pPr>
        <ns0:pStyle ns0:val="Compact"/>
        <ns0:numPr>
          <ns0:ilvl ns0:val="0"/>
          <ns0:numId ns0:val="1001"/>
        </ns0:numPr>
      </ns0:pPr>
      <ns0:r>
        <ns0:t xml:space="preserve">Unmatched records seed new deterministic lineage IDs from canonical record</ns0:t>
      </ns0:r>
      <ns0:r>
        <ns0:t xml:space="preserve"> </ns0:t>
      </ns0:r>
      <ns0:r>
        <ns0:t xml:space="preserve">fingerprints rather than row order. Within a lineage, a new asset episode is</ns0:t>
      </ns0:r>
      <ns0:r>
        <ns0:t xml:space="preserve"> </ns0:t>
      </ns0:r>
      <ns0:r>
        <ns0:t xml:space="preserve">created when reported start year changes materially in either direction, a</ns0:t>
      </ns0:r>
      <ns0:r>
        <ns0:t xml:space="preserve"> </ns0:t>
      </ns0:r>
      <ns0:r>
        <ns0:t xml:space="preserve">mature record resets to a near-zero age, or a major name and configuration</ns0:t>
      </ns0:r>
      <ns0:r>
        <ns0:t xml:space="preserve"> </ns0:t>
      </ns0:r>
      <ns0:r>
        <ns0:t xml:space="preserve">discontinuity appears.</ns0:t>
      </ns0:r>
    </ns0:p>
    <ns0:p>
      <ns0:pPr>
        <ns0:pStyle ns0:val="FirstParagraph"/>
      </ns0:pPr>
      <ns0:r>
        <ns0:t xml:space="preserve">The result contains 1,690 stable administrative lineages and 1,767 asset</ns0:t>
      </ns0:r>
      <ns0:r>
        <ns0:t xml:space="preserve"> </ns0:t>
      </ns0:r>
      <ns0:r>
        <ns0:t xml:space="preserve">episodes, with no duplicate lineage-year and no history longer than the 20-year</ns0:t>
      </ns0:r>
      <ns0:r>
        <ns0:t xml:space="preserve"> </ns0:t>
      </ns0:r>
      <ns0:r>
        <ns0:t xml:space="preserve">study window. The match audit classifies 15,324 records as code plus exact-name</ns0:t>
      </ns0:r>
      <ns0:r>
        <ns0:t xml:space="preserve"> </ns0:t>
      </ns0:r>
      <ns0:r>
        <ns0:t xml:space="preserve">links, 274 as code with other supporting evidence, 6,204 as exact-name links</ns0:t>
      </ns0:r>
      <ns0:r>
        <ns0:t xml:space="preserve"> </ns0:t>
      </ns0:r>
      <ns0:r>
        <ns0:t xml:space="preserve">without code support, 101 as fuzzy-name links without code support, and 1,690 as</ns0:t>
      </ns0:r>
      <ns0:r>
        <ns0:t xml:space="preserve"> </ns0:t>
      </ns0:r>
      <ns0:r>
        <ns0:t xml:space="preserve">new lineage seeds.</ns0:t>
      </ns0:r>
    </ns0:p>
    <ns0:p>
      <ns0:pPr>
        <ns0:pStyle ns0:val="af"/>
      </ns0:pPr>
      <ns0:r>
        <ns0:t xml:space="preserve">Candidate links below the minimum score are excluded before assignment, as are</ns0:t>
      </ns0:r>
      <ns0:r>
        <ns0:t xml:space="preserve"> </ns0:t>
      </ns0:r>
      <ns0:r>
        <ns0:t xml:space="preserve">ambiguous links lacking an exact-name or official-code signal. This removes</ns0:t>
      </ns0:r>
      <ns0:r>
        <ns0:t xml:space="preserve"> </ns0:t>
      </ns0:r>
      <ns0:r>
        <ns0:t xml:space="preserve">3,092 sub-threshold and 15,308 weak ambiguous candidate edges. Sixteen accepted</ns0:t>
      </ns0:r>
      <ns0:r>
        <ns0:t xml:space="preserve"> </ns0:t>
      </ns0:r>
      <ns0:r>
        <ns0:t xml:space="preserve">links, spanning 14 lineages, still have a low current-record or prior-record</ns0:t>
      </ns0:r>
      <ns0:r>
        <ns0:t xml:space="preserve"> </ns0:t>
      </ns0:r>
      <ns0:r>
        <ns0:t xml:space="preserve">margin but retain strong evidence; every one is exposed in the identity audit.</ns0:t>
      </ns0:r>
      <ns0:r>
        <ns0:t xml:space="preserve"> </ns0:t>
      </ns0:r>
      <ns0:r>
        <ns0:t xml:space="preserve">The entry and component analyses therefore include whole-lineage</ns0:t>
      </ns0:r>
      <ns0:r>
        <ns0:t xml:space="preserve"> </ns0:t>
      </ns0:r>
      <ns0:r>
        <ns0:t xml:space="preserve">identity-certain sensitivities that exclude all 14 affected lineages rather</ns0:t>
      </ns0:r>
      <ns0:r>
        <ns0:t xml:space="preserve"> </ns0:t>
      </ns0:r>
      <ns0:r>
        <ns0:t xml:space="preserve">than selectively removing individual years.</ns0:t>
      </ns0:r>
    </ns0:p>
    <ns0:p>
      <ns0:pPr>
        <ns0:pStyle ns0:val="af"/>
      </ns0:pPr>
      <ns0:r>
        <ns0:t xml:space="preserve">Known difficult cases are embedded as executable checks. Three pairs that must</ns0:t>
      </ns0:r>
      <ns0:r>
        <ns0:t xml:space="preserve"> </ns0:t>
      </ns0:r>
      <ns0:r>
        <ns0:t xml:space="preserve">link and three pairs that must remain separate are tested directly, including</ns0:t>
      </ns0:r>
      <ns0:r>
        <ns0:t xml:space="preserve"> </ns0:t>
      </ns0:r>
      <ns0:r>
        <ns0:t xml:space="preserve">examples from the FY2019-FY2020 recode and earlier code reuse. The resolver is</ns0:t>
      </ns0:r>
      <ns0:r>
        <ns0:t xml:space="preserve"> </ns0:t>
      </ns0:r>
      <ns0:r>
        <ns0:t xml:space="preserve">also rerun after random row permutation and after insertion of an unrelated</ns0:t>
      </ns0:r>
      <ns0:r>
        <ns0:t xml:space="preserve"> </ns0:t>
      </ns0:r>
      <ns0:r>
        <ns0:t xml:space="preserve">synthetic record in six difficult or duplicate-bearing prefectures. The</ns0:t>
      </ns0:r>
      <ns0:r>
        <ns0:t xml:space="preserve"> </ns0:t>
      </ns0:r>
      <ns0:r>
        <ns0:t xml:space="preserve">lineage/episode mapping must remain unchanged. These golden-link, separation,</ns0:t>
      </ns0:r>
      <ns0:r>
        <ns0:t xml:space="preserve"> </ns0:t>
      </ns0:r>
      <ns0:r>
        <ns0:t xml:space="preserve">permutation, and insertion tests reduce identifiable implementation risks; they</ns0:t>
      </ns0:r>
      <ns0:r>
        <ns0:t xml:space="preserve"> </ns0:t>
      </ns0:r>
      <ns0:r>
        <ns0:t xml:space="preserve">do not make probabilistic record linkage certain. Any result depending on a</ns0:t>
      </ns0:r>
      <ns0:r>
        <ns0:t xml:space="preserve"> </ns0:t>
      </ns0:r>
      <ns0:r>
        <ns0:t xml:space="preserve">small number of lineages remains vulnerable to unresolved name or configuration</ns0:t>
      </ns0:r>
      <ns0:r>
        <ns0:t xml:space="preserve"> </ns0:t>
      </ns0:r>
      <ns0:r>
        <ns0:t xml:space="preserve">ambiguity. The uncertainty flag makes that vulnerability testable rather than</ns0:t>
      </ns0:r>
      <ns0:r>
        <ns0:t xml:space="preserve"> </ns0:t>
      </ns0:r>
      <ns0:r>
        <ns0:t xml:space="preserve">implicit.</ns0:t>
      </ns0:r>
    </ns0:p>
    <ns0:p>
      <ns0:pPr>
        <ns0:pStyle ns0:val="af"/>
      </ns0:pPr>
      <ns0:r>
        <ns0:t xml:space="preserve">A blinded clerical-review packet provides a further validation gate consistent</ns0:t>
      </ns0:r>
      <ns0:r>
        <ns0:t xml:space="preserve"> </ns0:t>
      </ns0:r>
      <ns0:r>
        <ns0:t xml:space="preserve">with guidance for linked administrative cohorts (Harron et al., 2020). It</ns0:t>
      </ns0:r>
      <ns0:r>
        <ns0:t xml:space="preserve"> </ns0:t>
      </ns0:r>
      <ns0:r>
        <ns0:t xml:space="preserve">contains all 35 modeled event links, all 16 accepted uncertain links, all 31</ns0:t>
      </ns0:r>
      <ns0:r>
        <ns0:t xml:space="preserve"> </ns0:t>
      </ns0:r>
      <ns0:r>
        <ns0:t xml:space="preserve">gap links, 50 deterministic FY2019-FY2020 bridge links, and a stratified sample</ns0:t>
      </ns0:r>
      <ns0:r>
        <ns0:t xml:space="preserve"> </ns0:t>
      </ns0:r>
      <ns0:r>
        <ns0:t xml:space="preserve">of other accepted pairs. Match scores, algorithmic decisions, and final lineage</ns0:t>
      </ns0:r>
      <ns0:r>
        <ns0:t xml:space="preserve"> </ns0:t>
      </ns0:r>
      <ns0:r>
        <ns0:t xml:space="preserve">IDs are withheld from the reviewer-facing packet. A second reviewer records</ns0:t>
      </ns0:r>
      <ns0:r>
        <ns0:t xml:space="preserve"> </ns0:t>
      </ns0:r>
      <ns0:r>
        <ns0:t xml:space="preserve">same history, different history, indeterminate, or probable reset before the</ns0:t>
      </ns0:r>
      <ns0:r>
        <ns0:t xml:space="preserve"> </ns0:t>
      </ns0:r>
      <ns0:r>
        <ns0:t xml:space="preserve">answer key is opened and disagreements are adjudicated. The packet is generated</ns0:t>
      </ns0:r>
      <ns0:r>
        <ns0:t xml:space="preserve"> </ns0:t>
      </ns0:r>
      <ns0:r>
        <ns0:t xml:space="preserve">and archived; until independent review is completed, it is a protocol and</ns0:t>
      </ns0:r>
      <ns0:r>
        <ns0:t xml:space="preserve"> </ns0:t>
      </ns0:r>
      <ns0:r>
        <ns0:t xml:space="preserve">sensitivity resource rather than evidence of independent validation. This limitation remains explicit throughout the analysis.</ns0:t>
      </ns0:r>
      <ns0:r>
        <ns0:t xml:space="preserve"> </ns0:t>
      </ns0:r>
      <ns0:r>
        <ns0:t xml:space="preserve">Completion and adjudication remain the principal outstanding</ns0:t>
      </ns0:r>
      <ns0:r>
        <ns0:t xml:space="preserve"> </ns0:t>
      </ns0:r>
      <ns0:r>
        <ns0:t xml:space="preserve">linkage-validation step before the reconstructed lineages are described as</ns0:t>
      </ns0:r>
      <ns0:r>
        <ns0:t xml:space="preserve"> </ns0:t>
      </ns0:r>
      <ns0:r>
        <ns0:t xml:space="preserve">independently reviewed.</ns0:t>
      </ns0:r>
    </ns0:p>
    <ns0:bookmarkEnd ns0:id="24"/>
    <ns0:bookmarkStart ns0:id="28" ns0:name="analytical-frames-and-estimands"/>
    <ns0:p>
      <ns0:pPr>
        <ns0:pStyle ns0:val="21"/>
      </ns0:pPr>
      <ns0:r>
        <ns0:t xml:space="preserve">3.3 Analytical frames and estimands</ns0:t>
      </ns0:r>
    </ns0:p>
    <ns0:p>
      <ns0:pPr>
        <ns0:pStyle ns0:val="FirstParagraph"/>
      </ns0:pPr>
      <ns0:r>
        <ns0:t xml:space="preserve">The three RQs use related but non-identical samples. Table 2 prevents their</ns0:t>
      </ns0:r>
      <ns0:r>
        <ns0:t xml:space="preserve"> </ns0:t>
      </ns0:r>
      <ns0:r>
        <ns0:t xml:space="preserve">denominators from being blended.</ns0:t>
      </ns0:r>
    </ns0:p>
    <ns0:p>
      <ns0:pPr>
        <ns0:pStyle ns0:val="af"/>
      </ns0:pPr>
      <ns0:r>
        <ns0:rPr>
          <ns0:b/>
          <ns0:bCs/>
        </ns0:rPr>
        <ns0:t xml:space="preserve">Table 2. Analytical frames after identity and data-quality checks</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jc ns0:val="left"/>
            </ns0:pPr>
            <ns0:r>
              <ns0:t xml:space="preserve">Frame</ns0:t>
            </ns0:r>
          </ns0:p>
        </ns0:tc>
        <ns0:tc>
          <ns0:tcPr/>
          <ns0:p>
            <ns0:pPr>
              <ns0:pStyle ns0:val="Compact"/>
              <ns0:jc ns0:val="right"/>
            </ns0:pPr>
            <ns0:r>
              <ns0:t xml:space="preserve">Facility-year rows</ns0:t>
            </ns0:r>
          </ns0:p>
        </ns0:tc>
        <ns0:tc>
          <ns0:tcPr/>
          <ns0:p>
            <ns0:pPr>
              <ns0:pStyle ns0:val="Compact"/>
              <ns0:jc ns0:val="right"/>
            </ns0:pPr>
            <ns0:r>
              <ns0:t xml:space="preserve">Stable lineages</ns0:t>
            </ns0:r>
          </ns0:p>
        </ns0:tc>
        <ns0:tc>
          <ns0:tcPr/>
          <ns0:p>
            <ns0:pPr>
              <ns0:pStyle ns0:val="Compact"/>
              <ns0:jc ns0:val="right"/>
            </ns0:pPr>
            <ns0:r>
              <ns0:t xml:space="preserve">Events</ns0:t>
            </ns0:r>
          </ns0:p>
        </ns0:tc>
        <ns0:tc>
          <ns0:tcPr/>
          <ns0:p>
            <ns0:pPr>
              <ns0:pStyle ns0:val="Compact"/>
              <ns0:jc ns0:val="left"/>
            </ns0:pPr>
            <ns0:r>
              <ns0:t xml:space="preserve">Estimand</ns0:t>
            </ns0:r>
          </ns0:p>
        </ns0:tc>
      </ns0:tr>
      <ns0:tr>
        <ns0:tc>
          <ns0:tcPr/>
          <ns0:p>
            <ns0:pPr>
              <ns0:pStyle ns0:val="Compact"/>
              <ns0:jc ns0:val="left"/>
            </ns0:pPr>
            <ns0:r>
              <ns0:t xml:space="preserve">Full administrative panel</ns0:t>
            </ns0:r>
          </ns0:p>
        </ns0:tc>
        <ns0:tc>
          <ns0:tcPr/>
          <ns0:p>
            <ns0:pPr>
              <ns0:pStyle ns0:val="Compact"/>
              <ns0:jc ns0:val="right"/>
            </ns0:pPr>
            <ns0:r>
              <ns0:t xml:space="preserve">23,593</ns0:t>
            </ns0:r>
          </ns0:p>
        </ns0:tc>
        <ns0:tc>
          <ns0:tcPr/>
          <ns0:p>
            <ns0:pPr>
              <ns0:pStyle ns0:val="Compact"/>
              <ns0:jc ns0:val="right"/>
            </ns0:pPr>
            <ns0:r>
              <ns0:t xml:space="preserve">1,690</ns0:t>
            </ns0:r>
          </ns0:p>
        </ns0:tc>
        <ns0:tc>
          <ns0:tcPr/>
          <ns0:p>
            <ns0:pPr>
              <ns0:pStyle ns0:val="Compact"/>
              <ns0:jc ns0:val="right"/>
            </ns0:pPr>
            <ns0:r>
              <ns0:t xml:space="preserve">Not applicable</ns0:t>
            </ns0:r>
          </ns0:p>
        </ns0:tc>
        <ns0:tc>
          <ns0:tcPr/>
          <ns0:p>
            <ns0:pPr>
              <ns0:pStyle ns0:val="Compact"/>
              <ns0:jc ns0:val="left"/>
            </ns0:pPr>
            <ns0:r>
              <ns0:t xml:space="preserve">Annual facility, throughput, and design-capacity coverage</ns0:t>
            </ns0:r>
          </ns0:p>
        </ns0:tc>
      </ns0:tr>
      <ns0:tr>
        <ns0:tc>
          <ns0:tcPr/>
          <ns0:p>
            <ns0:pPr>
              <ns0:pStyle ns0:val="Compact"/>
              <ns0:jc ns0:val="left"/>
            </ns0:pPr>
            <ns0:r>
              <ns0:t xml:space="preserve">Descriptive non-generator risk set</ns0:t>
            </ns0:r>
          </ns0:p>
        </ns0:tc>
        <ns0:tc>
          <ns0:tcPr/>
          <ns0:p>
            <ns0:pPr>
              <ns0:pStyle ns0:val="Compact"/>
              <ns0:jc ns0:val="right"/>
            </ns0:pPr>
            <ns0:r>
              <ns0:t xml:space="preserve">16,519</ns0:t>
            </ns0:r>
          </ns0:p>
        </ns0:tc>
        <ns0:tc>
          <ns0:tcPr/>
          <ns0:p>
            <ns0:pPr>
              <ns0:pStyle ns0:val="Compact"/>
              <ns0:jc ns0:val="right"/>
            </ns0:pPr>
            <ns0:r>
              <ns0:t xml:space="preserve">1,223</ns0:t>
            </ns0:r>
          </ns0:p>
        </ns0:tc>
        <ns0:tc>
          <ns0:tcPr/>
          <ns0:p>
            <ns0:pPr>
              <ns0:pStyle ns0:val="Compact"/>
              <ns0:jc ns0:val="right"/>
            </ns0:pPr>
            <ns0:r>
              <ns0:t xml:space="preserve">55</ns0:t>
            </ns0:r>
          </ns0:p>
        </ns0:tc>
        <ns0:tc>
          <ns0:tcPr/>
          <ns0:p>
            <ns0:pPr>
              <ns0:pStyle ns0:val="Compact"/>
              <ns0:jc ns0:val="left"/>
            </ns0:pPr>
            <ns0:r>
              <ns0:t xml:space="preserve">Observed first installed-capacity entries during follow-up</ns0:t>
            </ns0:r>
          </ns0:p>
        </ns0:tc>
      </ns0:tr>
      <ns0:tr>
        <ns0:tc>
          <ns0:tcPr/>
          <ns0:p>
            <ns0:pPr>
              <ns0:pStyle ns0:val="Compact"/>
              <ns0:jc ns0:val="left"/>
            </ns0:pPr>
            <ns0:r>
              <ns0:t xml:space="preserve">Broad exact-year complete-covariate entry model</ns0:t>
            </ns0:r>
          </ns0:p>
        </ns0:tc>
        <ns0:tc>
          <ns0:tcPr/>
          <ns0:p>
            <ns0:pPr>
              <ns0:pStyle ns0:val="Compact"/>
              <ns0:jc ns0:val="right"/>
            </ns0:pPr>
            <ns0:r>
              <ns0:t xml:space="preserve">15,154</ns0:t>
            </ns0:r>
          </ns0:p>
        </ns0:tc>
        <ns0:tc>
          <ns0:tcPr/>
          <ns0:p>
            <ns0:pPr>
              <ns0:pStyle ns0:val="Compact"/>
              <ns0:jc ns0:val="right"/>
            </ns0:pPr>
            <ns0:r>
              <ns0:t xml:space="preserve">1,137</ns0:t>
            </ns0:r>
          </ns0:p>
        </ns0:tc>
        <ns0:tc>
          <ns0:tcPr/>
          <ns0:p>
            <ns0:pPr>
              <ns0:pStyle ns0:val="Compact"/>
              <ns0:jc ns0:val="right"/>
            </ns0:pPr>
            <ns0:r>
              <ns0:t xml:space="preserve">35</ns0:t>
            </ns0:r>
          </ns0:p>
        </ns0:tc>
        <ns0:tc>
          <ns0:tcPr/>
          <ns0:p>
            <ns0:pPr>
              <ns0:pStyle ns0:val="Compact"/>
              <ns0:jc ns0:val="left"/>
            </ns0:pPr>
            <ns0:r>
              <ns0:t xml:space="preserve">Conditional annual administrative-lineage entry odds using prior-year covariates</ns0:t>
            </ns0:r>
          </ns0:p>
        </ns0:tc>
      </ns0:tr>
      <ns0:tr>
        <ns0:tc>
          <ns0:tcPr/>
          <ns0:p>
            <ns0:pPr>
              <ns0:pStyle ns0:val="Compact"/>
              <ns0:jc ns0:val="left"/>
            </ns0:pPr>
            <ns0:r>
              <ns0:t xml:space="preserve">Exact-year model after prior operation</ns0:t>
            </ns0:r>
          </ns0:p>
        </ns0:tc>
        <ns0:tc>
          <ns0:tcPr/>
          <ns0:p>
            <ns0:pPr>
              <ns0:pStyle ns0:val="Compact"/>
              <ns0:jc ns0:val="right"/>
            </ns0:pPr>
            <ns0:r>
              <ns0:t xml:space="preserve">13,072</ns0:t>
            </ns0:r>
          </ns0:p>
        </ns0:tc>
        <ns0:tc>
          <ns0:tcPr/>
          <ns0:p>
            <ns0:pPr>
              <ns0:pStyle ns0:val="Compact"/>
              <ns0:jc ns0:val="right"/>
            </ns0:pPr>
            <ns0:r>
              <ns0:t xml:space="preserve">1,019</ns0:t>
            </ns0:r>
          </ns0:p>
        </ns0:tc>
        <ns0:tc>
          <ns0:tcPr/>
          <ns0:p>
            <ns0:pPr>
              <ns0:pStyle ns0:val="Compact"/>
              <ns0:jc ns0:val="right"/>
            </ns0:pPr>
            <ns0:r>
              <ns0:t xml:space="preserve">33</ns0:t>
            </ns0:r>
          </ns0:p>
        </ns0:tc>
        <ns0:tc>
          <ns0:tcPr/>
          <ns0:p>
            <ns0:pPr>
              <ns0:pStyle ns0:val="Compact"/>
              <ns0:jc ns0:val="left"/>
            </ns0:pPr>
            <ns0:r>
              <ns0:t xml:space="preserve">Nested sensitivity requiring positive prior-year throughput</ns0:t>
            </ns0:r>
          </ns0:p>
        </ns0:tc>
      </ns0:tr>
      <ns0:tr>
        <ns0:tc>
          <ns0:tcPr/>
          <ns0:p>
            <ns0:pPr>
              <ns0:pStyle ns0:val="Compact"/>
              <ns0:jc ns0:val="left"/>
            </ns0:pPr>
            <ns0:r>
              <ns0:t xml:space="preserve">Same-asset-episode continuity sensitivity</ns0:t>
            </ns0:r>
          </ns0:p>
        </ns0:tc>
        <ns0:tc>
          <ns0:tcPr/>
          <ns0:p>
            <ns0:pPr>
              <ns0:pStyle ns0:val="Compact"/>
              <ns0:jc ns0:val="right"/>
            </ns0:pPr>
            <ns0:r>
              <ns0:t xml:space="preserve">15,095</ns0:t>
            </ns0:r>
          </ns0:p>
        </ns0:tc>
        <ns0:tc>
          <ns0:tcPr/>
          <ns0:p>
            <ns0:pPr>
              <ns0:pStyle ns0:val="Compact"/>
              <ns0:jc ns0:val="right"/>
            </ns0:pPr>
            <ns0:r>
              <ns0:t xml:space="preserve">1,135</ns0:t>
            </ns0:r>
          </ns0:p>
        </ns0:tc>
        <ns0:tc>
          <ns0:tcPr/>
          <ns0:p>
            <ns0:pPr>
              <ns0:pStyle ns0:val="Compact"/>
              <ns0:jc ns0:val="right"/>
            </ns0:pPr>
            <ns0:r>
              <ns0:t xml:space="preserve">24</ns0:t>
            </ns0:r>
          </ns0:p>
        </ns0:tc>
        <ns0:tc>
          <ns0:tcPr/>
          <ns0:p>
            <ns0:pPr>
              <ns0:pStyle ns0:val="Compact"/>
              <ns0:jc ns0:val="left"/>
            </ns0:pPr>
            <ns0:r>
              <ns0:t xml:space="preserve">Entry odds after excluding transitions that cross an inferred asset-episode boundary</ns0:t>
            </ns0:r>
          </ns0:p>
        </ns0:tc>
      </ns0:tr>
      <ns0:tr>
        <ns0:tc>
          <ns0:tcPr/>
          <ns0:p>
            <ns0:pPr>
              <ns0:pStyle ns0:val="Compact"/>
              <ns0:jc ns0:val="left"/>
            </ns0:pPr>
            <ns0:r>
              <ns0:t xml:space="preserve">Identity-certain-lineage sensitivity</ns0:t>
            </ns0:r>
          </ns0:p>
        </ns0:tc>
        <ns0:tc>
          <ns0:tcPr/>
          <ns0:p>
            <ns0:pPr>
              <ns0:pStyle ns0:val="Compact"/>
              <ns0:jc ns0:val="right"/>
            </ns0:pPr>
            <ns0:r>
              <ns0:t xml:space="preserve">15,107</ns0:t>
            </ns0:r>
          </ns0:p>
        </ns0:tc>
        <ns0:tc>
          <ns0:tcPr/>
          <ns0:p>
            <ns0:pPr>
              <ns0:pStyle ns0:val="Compact"/>
              <ns0:jc ns0:val="right"/>
            </ns0:pPr>
            <ns0:r>
              <ns0:t xml:space="preserve">1,130</ns0:t>
            </ns0:r>
          </ns0:p>
        </ns0:tc>
        <ns0:tc>
          <ns0:tcPr/>
          <ns0:p>
            <ns0:pPr>
              <ns0:pStyle ns0:val="Compact"/>
              <ns0:jc ns0:val="right"/>
            </ns0:pPr>
            <ns0:r>
              <ns0:t xml:space="preserve">35</ns0:t>
            </ns0:r>
          </ns0:p>
        </ns0:tc>
        <ns0:tc>
          <ns0:tcPr/>
          <ns0:p>
            <ns0:pPr>
              <ns0:pStyle ns0:val="Compact"/>
              <ns0:jc ns0:val="left"/>
            </ns0:pPr>
            <ns0:r>
              <ns0:t xml:space="preserve">Broad model after excluding every lineage containing an accepted uncertain identity link</ns0:t>
            </ns0:r>
          </ns0:p>
        </ns0:tc>
      </ns0:tr>
      <ns0:tr>
        <ns0:tc>
          <ns0:tcPr/>
          <ns0:p>
            <ns0:pPr>
              <ns0:pStyle ns0:val="Compact"/>
              <ns0:jc ns0:val="left"/>
            </ns0:pPr>
            <ns0:r>
              <ns0:t xml:space="preserve">Two-prior-year reporting-state sensitivity</ns0:t>
            </ns0:r>
          </ns0:p>
        </ns0:tc>
        <ns0:tc>
          <ns0:tcPr/>
          <ns0:p>
            <ns0:pPr>
              <ns0:pStyle ns0:val="Compact"/>
              <ns0:jc ns0:val="right"/>
            </ns0:pPr>
            <ns0:r>
              <ns0:t xml:space="preserve">14,000</ns0:t>
            </ns0:r>
          </ns0:p>
        </ns0:tc>
        <ns0:tc>
          <ns0:tcPr/>
          <ns0:p>
            <ns0:pPr>
              <ns0:pStyle ns0:val="Compact"/>
              <ns0:jc ns0:val="right"/>
            </ns0:pPr>
            <ns0:r>
              <ns0:t xml:space="preserve">1,110</ns0:t>
            </ns0:r>
          </ns0:p>
        </ns0:tc>
        <ns0:tc>
          <ns0:tcPr/>
          <ns0:p>
            <ns0:pPr>
              <ns0:pStyle ns0:val="Compact"/>
              <ns0:jc ns0:val="right"/>
            </ns0:pPr>
            <ns0:r>
              <ns0:t xml:space="preserve">30</ns0:t>
            </ns0:r>
          </ns0:p>
        </ns0:tc>
        <ns0:tc>
          <ns0:tcPr/>
          <ns0:p>
            <ns0:pPr>
              <ns0:pStyle ns0:val="Compact"/>
              <ns0:jc ns0:val="left"/>
            </ns0:pPr>
            <ns0:r>
              <ns0:t xml:space="preserve">Entry odds after requiring two observed prior years with neither positive reported capacity nor positive output</ns0:t>
            </ns0:r>
          </ns0:p>
        </ns0:tc>
      </ns0:tr>
      <ns0:tr>
        <ns0:tc>
          <ns0:tcPr/>
          <ns0:p>
            <ns0:pPr>
              <ns0:pStyle ns0:val="Compact"/>
              <ns0:jc ns0:val="left"/>
            </ns0:pPr>
            <ns0:r>
              <ns0:t xml:space="preserve">Positive-throughput, positive-output generators</ns0:t>
            </ns0:r>
          </ns0:p>
        </ns0:tc>
        <ns0:tc>
          <ns0:tcPr/>
          <ns0:p>
            <ns0:pPr>
              <ns0:pStyle ns0:val="Compact"/>
              <ns0:jc ns0:val="right"/>
            </ns0:pPr>
            <ns0:r>
              <ns0:t xml:space="preserve">6,660</ns0:t>
            </ns0:r>
          </ns0:p>
        </ns0:tc>
        <ns0:tc>
          <ns0:tcPr/>
          <ns0:p>
            <ns0:pPr>
              <ns0:pStyle ns0:val="Compact"/>
              <ns0:jc ns0:val="right"/>
            </ns0:pPr>
            <ns0:r>
              <ns0:t xml:space="preserve">504</ns0:t>
            </ns0:r>
          </ns0:p>
        </ns0:tc>
        <ns0:tc>
          <ns0:tcPr/>
          <ns0:p>
            <ns0:pPr>
              <ns0:pStyle ns0:val="Compact"/>
              <ns0:jc ns0:val="right"/>
            </ns0:pPr>
            <ns0:r>
              <ns0:t xml:space="preserve">Not applicable</ns0:t>
            </ns0:r>
          </ns0:p>
        </ns0:tc>
        <ns0:tc>
          <ns0:tcPr/>
          <ns0:p>
            <ns0:pPr>
              <ns0:pStyle ns0:val="Compact"/>
              <ns0:jc ns0:val="left"/>
            </ns0:pPr>
            <ns0:r>
              <ns0:t xml:space="preserve">Descriptive operating-generator frame</ns0:t>
            </ns0:r>
          </ns0:p>
        </ns0:tc>
      </ns0:tr>
      <ns0:tr>
        <ns0:tc>
          <ns0:tcPr/>
          <ns0:p>
            <ns0:pPr>
              <ns0:pStyle ns0:val="Compact"/>
              <ns0:jc ns0:val="left"/>
            </ns0:pPr>
            <ns0:r>
              <ns0:t xml:space="preserve">Engineering-valid component model</ns0:t>
            </ns0:r>
          </ns0:p>
        </ns0:tc>
        <ns0:tc>
          <ns0:tcPr/>
          <ns0:p>
            <ns0:pPr>
              <ns0:pStyle ns0:val="Compact"/>
              <ns0:jc ns0:val="right"/>
            </ns0:pPr>
            <ns0:r>
              <ns0:t xml:space="preserve">6,511</ns0:t>
            </ns0:r>
          </ns0:p>
        </ns0:tc>
        <ns0:tc>
          <ns0:tcPr/>
          <ns0:p>
            <ns0:pPr>
              <ns0:pStyle ns0:val="Compact"/>
              <ns0:jc ns0:val="right"/>
            </ns0:pPr>
            <ns0:r>
              <ns0:t xml:space="preserve">493</ns0:t>
            </ns0:r>
          </ns0:p>
        </ns0:tc>
        <ns0:tc>
          <ns0:tcPr/>
          <ns0:p>
            <ns0:pPr>
              <ns0:pStyle ns0:val="Compact"/>
              <ns0:jc ns0:val="right"/>
            </ns0:pPr>
            <ns0:r>
              <ns0:t xml:space="preserve">Not applicable</ns0:t>
            </ns0:r>
          </ns0:p>
        </ns0:tc>
        <ns0:tc>
          <ns0:tcPr/>
          <ns0:p>
            <ns0:pPr>
              <ns0:pStyle ns0:val="Compact"/>
              <ns0:jc ns0:val="left"/>
            </ns0:pPr>
            <ns0:r>
              <ns0:t xml:space="preserve">Conditional generator-component associations</ns0:t>
            </ns0:r>
          </ns0:p>
        </ns0:tc>
      </ns0:tr>
    </ns0:tbl>
    <ns0:p>
      <ns0:pPr>
        <ns0:pStyle ns0:val="CaptionedFigure"/>
      </ns0:pPr>
      <ns0:r>
        <ns0:drawing>
          <ns1:inline>
            <ns1:extent cx="5486400" cy="1351128"/>
            <ns1:effectExtent b="0" l="0" r="0" t="0"/>
            <ns1:docPr descr="Figure 2. Entry-model sample construction. The reconstructed panel contains 23,593 facility-years from 1,690 administrative lineages. Restricting attention to lineages first observed without positive installed capacity produces 16,519 risk rows and 55 observed entries; exact annual lags and complete prior covariates define the 15,154-row, 35-event primary model. The prior-operation sensitivity further requires positive prior-year throughput. The 467 lineages already installed at first observation are left-censored, not non-adopters." title="" id="26" name="Picture"/>
            <ns2:graphic>
              <ns2:graphicData uri="http://schemas.openxmlformats.org/drawingml/2006/picture">
                <ns3:pic>
                  <ns3:nvPicPr>
                    <ns3:cNvPr descr="../../figures/figure_entry_sample_flow.png" id="27" name="Picture"/>
                    <ns3:cNvPicPr>
                      <ns2:picLocks noChangeArrowheads="1" noChangeAspect="1"/>
                    </ns3:cNvPicPr>
                  </ns3:nvPicPr>
                  <ns3:blipFill>
                    <ns2:blip ns4:embed="rId25"/>
                    <ns2:stretch>
                      <ns2:fillRect/>
                    </ns2:stretch>
                  </ns3:blipFill>
                  <ns3:spPr bwMode="auto">
                    <ns2:xfrm>
                      <ns2:off x="0" y="0"/>
                      <ns2:ext cx="5486400" cy="1351128"/>
                    </ns2:xfrm>
                    <ns2:prstGeom prst="rect">
                      <ns2:avLst/>
                    </ns2:prstGeom>
                    <ns2:noFill/>
                    <ns2:ln w="9525">
                      <ns2:noFill/>
                      <ns2:headEnd/>
                      <ns2:tailEnd/>
                    </ns2:ln>
                  </ns3:spPr>
                </ns3:pic>
              </ns2:graphicData>
            </ns2:graphic>
          </ns1:inline>
        </ns0:drawing>
      </ns0:r>
    </ns0:p>
    <ns0:p>
      <ns0:pPr>
        <ns0:pStyle ns0:val="ImageCaption"/>
      </ns0:pPr>
      <ns0:r>
        <ns0:t xml:space="preserve">Figure 2. Entry-model sample construction. The reconstructed panel contains 23,593 facility-years from 1,690 administrative lineages. Restricting attention to lineages first observed without positive installed capacity produces 16,519 risk rows and 55 observed entries; exact annual lags and complete prior covariates define the 15,154-row, 35-event primary model. The prior-operation sensitivity further requires positive prior-year throughput. The 467 lineages already installed at first observation are left-censored, not non-adopters.</ns0:t>
      </ns0:r>
    </ns0:p>
    <ns0:p>
      <ns0:pPr>
        <ns0:pStyle ns0:val="af"/>
      </ns0:pPr>
      <ns0:r>
        <ns0:t xml:space="preserve">The entry sample excludes 467 lineages already reporting positive installed</ns0:t>
      </ns0:r>
      <ns0:r>
        <ns0:t xml:space="preserve"> </ns0:t>
      </ns0:r>
      <ns0:r>
        <ns0:t xml:space="preserve">capacity in their first observed year because their entry time is left-censored.</ns0:t>
      </ns0:r>
      <ns0:r>
        <ns0:t xml:space="preserve"> </ns0:t>
      </ns0:r>
      <ns0:r>
        <ns0:t xml:space="preserve">A remaining lineage contributes annual risk rows until its first positive</ns0:t>
      </ns0:r>
      <ns0:r>
        <ns0:t xml:space="preserve"> </ns0:t>
      </ns0:r>
      <ns0:r>
        <ns0:t xml:space="preserve">capacity observation or its last observed non-generating year. The first</ns0:t>
      </ns0:r>
      <ns0:r>
        <ns0:t xml:space="preserve"> </ns0:t>
      </ns0:r>
      <ns0:r>
        <ns0:t xml:space="preserve">observed risk row is dropped from modeling because a lagged predictor is not</ns0:t>
      </ns0:r>
      <ns0:r>
        <ns0:t xml:space="preserve"> </ns0:t>
      </ns0:r>
      <ns0:r>
        <ns0:t xml:space="preserve">available. The complete-covariate frame further drops 120 rows with missing</ns0:t>
      </ns0:r>
      <ns0:r>
        <ns0:t xml:space="preserve"> </ns0:t>
      </ns0:r>
      <ns0:r>
        <ns0:t xml:space="preserve">lagged age or processing capacity, and 22 non-adjacent rows are excluded from</ns0:t>
      </ns0:r>
      <ns0:r>
        <ns0:t xml:space="preserve"> </ns0:t>
      </ns0:r>
      <ns0:r>
        <ns0:t xml:space="preserve">the exact-year model; none of those 22 rows contains an event.</ns0:t>
      </ns0:r>
    </ns0:p>
    <ns0:p>
      <ns0:pPr>
        <ns0:pStyle ns0:val="af"/>
      </ns0:pPr>
      <ns0:r>
        <ns0:t xml:space="preserve">The 55 descriptive events, the 35 complete-covariate events, and the pathway</ns0:t>
      </ns0:r>
      <ns0:r>
        <ns0:t xml:space="preserve"> </ns0:t>
      </ns0:r>
      <ns0:r>
        <ns0:t xml:space="preserve">categories answer different bookkeeping questions. Coincidentally, the pathway</ns0:t>
      </ns0:r>
      <ns0:r>
        <ns0:t xml:space="preserve"> </ns0:t>
      </ns0:r>
      <ns0:r>
        <ns0:t xml:space="preserve">audit also identifies 35 continuity-lineage events. That count should not be</ns0:t>
      </ns0:r>
      <ns0:r>
        <ns0:t xml:space="preserve"> </ns0:t>
      </ns0:r>
      <ns0:r>
        <ns0:t xml:space="preserve">conflated with the 35 events in the exact-year regression sample. The former is</ns0:t>
      </ns0:r>
      <ns0:r>
        <ns0:t xml:space="preserve"> </ns0:t>
      </ns0:r>
      <ns0:r>
        <ns0:t xml:space="preserve">a pathway classification among observed entries; the latter is a covariate</ns0:t>
      </ns0:r>
      <ns0:r>
        <ns0:t xml:space="preserve"> </ns0:t>
      </ns0:r>
      <ns0:r>
        <ns0:t xml:space="preserve">completeness restriction.</ns0:t>
      </ns0:r>
    </ns0:p>
    <ns0:bookmarkEnd ns0:id="28"/>
    <ns0:bookmarkStart ns0:id="29" ns0:name="Xbee6be2584e2d5d9048ebe236a7b8a78ff6f45e"/>
    <ns0:p>
      <ns0:pPr>
        <ns0:pStyle ns0:val="21"/>
      </ns0:pPr>
      <ns0:r>
        <ns0:t xml:space="preserve">3.4 RQ1: coverage definitions and fleet composition</ns0:t>
      </ns0:r>
    </ns0:p>
    <ns0:p>
      <ns0:pPr>
        <ns0:pStyle ns0:val="FirstParagraph"/>
      </ns0:pPr>
      <ns0:r>
        <ns0:t xml:space="preserve">The first research question compares four transparent percentages rather</ns0:t>
      </ns0:r>
      <ns0:r>
        <ns0:t xml:space="preserve"> </ns0:t>
      </ns0:r>
      <ns0:r>
        <ns0:t xml:space="preserve">than asking readers to follow several similar formulas. Facility participation</ns0:t>
      </ns0:r>
      <ns0:r>
        <ns0:t xml:space="preserve"> </ns0:t>
      </ns0:r>
      <ns0:r>
        <ns0:t xml:space="preserve">is the percentage of retained records reporting positive installed electrical</ns0:t>
      </ns0:r>
      <ns0:r>
        <ns0:t xml:space="preserve"> </ns0:t>
      </ns0:r>
      <ns0:r>
        <ns0:t xml:space="preserve">capacity. The active-facility version uses only records with positive annual</ns0:t>
      </ns0:r>
      <ns0:r>
        <ns0:t xml:space="preserve"> </ns0:t>
      </ns0:r>
      <ns0:r>
        <ns0:t xml:space="preserve">throughput in the denominator. Throughput coverage is the share of recorded</ns0:t>
      </ns0:r>
      <ns0:r>
        <ns0:t xml:space="preserve"> </ns0:t>
      </ns0:r>
      <ns0:r>
        <ns0:t xml:space="preserve">waste processed at facilities reporting positive electricity output. Design-</ns0:t>
      </ns0:r>
      <ns0:r>
        <ns0:t xml:space="preserve"> </ns0:t>
      </ns0:r>
      <ns0:r>
        <ns0:t xml:space="preserve">capacity coverage is the share of national waste-processing capacity located at</ns0:t>
      </ns0:r>
      <ns0:r>
        <ns0:t xml:space="preserve"> </ns0:t>
      </ns0:r>
      <ns0:r>
        <ns0:t xml:space="preserve">facilities reporting positive installed electrical capacity.</ns0:t>
      </ns0:r>
    </ns0:p>
    <ns0:p>
      <ns0:pPr>
        <ns0:pStyle ns0:val="af"/>
      </ns0:pPr>
      <ns0:r>
        <ns0:t xml:space="preserve">These measures answer different questions. Facility participation shows how</ns0:t>
      </ns0:r>
      <ns0:r>
        <ns0:t xml:space="preserve"> </ns0:t>
      </ns0:r>
      <ns0:r>
        <ns0:t xml:space="preserve">widely generation equipment appears across records, whereas throughput and</ns0:t>
      </ns0:r>
      <ns0:r>
        <ns0:t xml:space="preserve"> </ns0:t>
      </ns0:r>
      <ns0:r>
        <ns0:t xml:space="preserve">design-capacity coverage show how much waste activity or nominal processing</ns0:t>
      </ns0:r>
      <ns0:r>
        <ns0:t xml:space="preserve"> </ns0:t>
      </ns0:r>
      <ns0:r>
        <ns0:t xml:space="preserve">capacity lies within the generating segment. Positive output is used for the</ns0:t>
      </ns0:r>
      <ns0:r>
        <ns0:t xml:space="preserve"> </ns0:t>
      </ns0:r>
      <ns0:r>
        <ns0:t xml:space="preserve">throughput numerator because installed equipment does not guarantee generation</ns0:t>
      </ns0:r>
      <ns0:r>
        <ns0:t xml:space="preserve"> </ns0:t>
      </ns0:r>
      <ns0:r>
        <ns0:t xml:space="preserve">in every year.</ns0:t>
      </ns0:r>
    </ns0:p>
    <ns0:p>
      <ns0:pPr>
        <ns0:pStyle ns0:val="af"/>
      </ns0:pPr>
      <ns0:r>
        <ns0:t xml:space="preserve">The annual percentages are repeated cross-sections, not direct conversion rates</ns0:t>
      </ns0:r>
      <ns0:r>
        <ns0:t xml:space="preserve"> </ns0:t>
      </ns0:r>
      <ns0:r>
        <ns0:t xml:space="preserve">for continuing facilities. The analysis therefore repeats the FY2005 and FY2024</ns0:t>
      </ns0:r>
      <ns0:r>
        <ns0:t xml:space="preserve"> </ns0:t>
      </ns0:r>
      <ns0:r>
        <ns0:t xml:space="preserve">comparison among administrative lineages observed in both endpoint years, then</ns0:t>
      </ns0:r>
      <ns0:r>
        <ns0:t xml:space="preserve"> </ns0:t>
      </ns0:r>
      <ns0:r>
        <ns0:t xml:space="preserve">applies stricter same-episode and complete-panel checks. Endpoint-only groups</ns0:t>
      </ns0:r>
      <ns0:r>
        <ns0:t xml:space="preserve"> </ns0:t>
      </ns0:r>
      <ns0:r>
        <ns0:t xml:space="preserve">describe changes in observed fleet composition, but administrative appearance</ns0:t>
      </ns0:r>
      <ns0:r>
        <ns0:t xml:space="preserve"> </ns0:t>
      </ns0:r>
      <ns0:r>
        <ns0:t xml:space="preserve">or disappearance is not treated as verified physical opening or closure. The</ns0:t>
      </ns0:r>
      <ns0:r>
        <ns0:t xml:space="preserve"> </ns0:t>
      </ns0:r>
      <ns0:r>
        <ns0:t xml:space="preserve">formal definitions and accounting expressions are consolidated in Appendix B.</ns0:t>
      </ns0:r>
    </ns0:p>
    <ns0:bookmarkEnd ns0:id="29"/>
    <ns0:bookmarkStart ns0:id="34" ns0:name="rq2-sparse-first-entry-model"/>
    <ns0:p>
      <ns0:pPr>
        <ns0:pStyle ns0:val="21"/>
      </ns0:pPr>
      <ns0:r>
        <ns0:t xml:space="preserve">3.5 RQ2: sparse first-entry model</ns0:t>
      </ns0:r>
    </ns0:p>
    <ns0:bookmarkStart ns0:id="30" ns0:name="event-and-population-at-risk"/>
    <ns0:p>
      <ns0:pPr>
        <ns0:pStyle ns0:val="31"/>
      </ns0:pPr>
      <ns0:r>
        <ns0:t xml:space="preserve">3.5.1 Event and population at risk</ns0:t>
      </ns0:r>
    </ns0:p>
    <ns0:p>
      <ns0:pPr>
        <ns0:pStyle ns0:val="FirstParagraph"/>
      </ns0:pPr>
      <ns0:r>
        <ns0:t xml:space="preserve">In plain terms, each eligible non-generator lineage contributes one row for</ns0:t>
      </ns0:r>
      <ns0:r>
        <ns0:t xml:space="preserve"> </ns0:t>
      </ns0:r>
      <ns0:r>
        <ns0:t xml:space="preserve">each year in which it remains observed and has not previously reported positive</ns0:t>
      </ns0:r>
      <ns0:r>
        <ns0:t xml:space="preserve"> </ns0:t>
      </ns0:r>
      <ns0:r>
        <ns0:t xml:space="preserve">installed capacity. The outcome records whether that lineage first reports</ns0:t>
      </ns0:r>
      <ns0:r>
        <ns0:t xml:space="preserve"> </ns0:t>
      </ns0:r>
      <ns0:r>
        <ns0:t xml:space="preserve">positive capacity in the current year. This structure compares entry profiles</ns0:t>
      </ns0:r>
      <ns0:r>
        <ns0:t xml:space="preserve"> </ns0:t>
      </ns0:r>
      <ns0:r>
        <ns0:t xml:space="preserve">among lineages that could still experience a first observed entry; it does not</ns0:t>
      </ns0:r>
      <ns0:r>
        <ns0:t xml:space="preserve"> </ns0:t>
      </ns0:r>
      <ns0:r>
        <ns0:t xml:space="preserve">compare all facilities indiscriminately.</ns0:t>
      </ns0:r>
    </ns0:p>
    <ns0:p>
      <ns0:pPr>
        <ns0:pStyle ns0:val="af"/>
      </ns0:pPr>
      <ns0:r>
        <ns0:t xml:space="preserve">The event is the first observed year with positive installed electrical capacity</ns0:t>
      </ns0:r>
      <ns0:r>
        <ns0:t xml:space="preserve"> </ns0:t>
      </ns0:r>
      <ns0:r>
        <ns0:t xml:space="preserve">after a lineage has been observed without it. It is an administrative state</ns0:t>
      </ns0:r>
      <ns0:r>
        <ns0:t xml:space="preserve"> </ns0:t>
      </ns0:r>
      <ns0:r>
        <ns0:t xml:space="preserve">transition. It does not uniquely identify first physical operation, equipment</ns0:t>
      </ns0:r>
      <ns0:r>
        <ns0:t xml:space="preserve"> </ns0:t>
      </ns0:r>
      <ns0:r>
        <ns0:t xml:space="preserve">installation, or a particular construction history.</ns0:t>
      </ns0:r>
    </ns0:p>
    <ns0:p>
      <ns0:pPr>
        <ns0:pStyle ns0:val="af"/>
      </ns0:pPr>
      <ns0:r>
        <ns0:t xml:space="preserve">Operationally, positive installed capacity means that the workbook reports a</ns0:t>
      </ns0:r>
      <ns0:r>
        <ns0:t xml:space="preserve"> </ns0:t>
      </ns0:r>
      <ns0:r>
        <ns0:t xml:space="preserve">non-missing value greater than zero. A blank or zero field is therefore coded as</ns0:t>
      </ns0:r>
      <ns0:r>
        <ns0:t xml:space="preserve"> </ns0:t>
      </ns0:r>
      <ns0:r>
        <ns0:rPr>
          <ns0:i/>
          <ns0:iCs/>
        </ns0:rPr>
        <ns0:t xml:space="preserve">no reported positive capacity</ns0:t>
      </ns0:r>
      <ns0:r>
        <ns0:t xml:space="preserve">, not as verified physical absence. This</ns0:t>
      </ns0:r>
      <ns0:r>
        <ns0:t xml:space="preserve"> </ns0:t>
      </ns0:r>
      <ns0:r>
        <ns0:t xml:space="preserve">distinction matters because 49 panel rows across six administrative lineages</ns0:t>
      </ns0:r>
      <ns0:r>
        <ns0:t xml:space="preserve"> </ns0:t>
      </ns0:r>
      <ns0:r>
        <ns0:t xml:space="preserve">report positive gross output while installed capacity is blank or zero. None of</ns0:t>
      </ns0:r>
      <ns0:r>
        <ns0:t xml:space="preserve"> </ns0:t>
      </ns0:r>
      <ns0:r>
        <ns0:t xml:space="preserve">the 35 exact modeled events reports positive output in its immediately prior</ns0:t>
      </ns0:r>
      <ns0:r>
        <ns0:t xml:space="preserve"> </ns0:t>
      </ns0:r>
      <ns0:r>
        <ns0:t xml:space="preserve">year, and 32 report positive output in the event year. A stricter reporting-state</ns0:t>
      </ns0:r>
      <ns0:r>
        <ns0:t xml:space="preserve"> </ns0:t>
      </ns0:r>
      <ns0:r>
        <ns0:t xml:space="preserve">sensitivity requires two consecutive observed prior years with neither positive</ns0:t>
      </ns0:r>
      <ns0:r>
        <ns0:t xml:space="preserve"> </ns0:t>
      </ns0:r>
      <ns0:r>
        <ns0:t xml:space="preserve">reported capacity nor positive output; it retains 14,000 risk rows, 1,110</ns0:t>
      </ns0:r>
      <ns0:r>
        <ns0:t xml:space="preserve"> </ns0:t>
      </ns0:r>
      <ns0:r>
        <ns0:t xml:space="preserve">lineages, and 30 events.</ns0:t>
      </ns0:r>
    </ns0:p>
    <ns0:bookmarkEnd ns0:id="30"/>
    <ns0:bookmarkStart ns0:id="31" ns0:name="primary-model-estimator-and-uncertainty"/>
    <ns0:p>
      <ns0:pPr>
        <ns0:pStyle ns0:val="31"/>
      </ns0:pPr>
      <ns0:r>
        <ns0:t xml:space="preserve">3.5.2 Primary model, estimator, and uncertainty</ns0:t>
      </ns0:r>
    </ns0:p>
    <ns0:p>
      <ns0:pPr>
        <ns0:pStyle ns0:val="FirstParagraph"/>
      </ns0:pPr>
      <ns0:r>
        <ns0:t xml:space="preserve">The model asks a narrow question: among lineages still at risk, how do the odds</ns0:t>
      </ns0:r>
      <ns0:r>
        <ns0:t xml:space="preserve"> </ns0:t>
      </ns0:r>
      <ns0:r>
        <ns0:t xml:space="preserve">of first reported entry vary with prior-year age and processing scale after</ns0:t>
      </ns0:r>
      <ns0:r>
        <ns0:t xml:space="preserve"> </ns0:t>
      </ns0:r>
      <ns0:r>
        <ns0:t xml:space="preserve">accounting for calendar time and elapsed observed time at risk? It describes</ns0:t>
      </ns0:r>
      <ns0:r>
        <ns0:t xml:space="preserve"> </ns0:t>
      </ns0:r>
      <ns0:r>
        <ns0:t xml:space="preserve">those profiles; it does not estimate what would happen if a municipality</ns0:t>
      </ns0:r>
      <ns0:r>
        <ns0:t xml:space="preserve"> </ns0:t>
      </ns0:r>
      <ns0:r>
        <ns0:t xml:space="preserve">physically enlarged or aged a facility.</ns0:t>
      </ns0:r>
    </ns0:p>
    <ns0:p>
      <ns0:pPr>
        <ns0:pStyle ns0:val="af"/>
      </ns0:pPr>
      <ns0:r>
        <ns0:t xml:space="preserve">Discrete-time event-history analysis represents each at-risk lineage-year as a</ns0:t>
      </ns0:r>
      <ns0:r>
        <ns0:t xml:space="preserve"> </ns0:t>
      </ns0:r>
      <ns0:r>
        <ns0:t xml:space="preserve">binary outcome (Allison, 1982; Beck et al., 1998). For lineage</ns0:t>
      </ns0:r>
      <ns0:r>
        <ns0:t xml:space="preserve"> </ns0:t>
      </ns0:r>
      <ns5:oMath>
        <ns5:r>
          <ns5:t>i</ns5:t>
        </ns5:r>
      </ns5:oMath>
      <ns0:r>
        <ns0:t xml:space="preserve"> </ns0:t>
      </ns0:r>
      <ns0:r>
        <ns0:t xml:space="preserve">in year</ns0:t>
      </ns0:r>
      <ns0:r>
        <ns0:t xml:space="preserve"> </ns0:t>
      </ns0:r>
      <ns5:oMath>
        <ns5:r>
          <ns5:t>t</ns5:t>
        </ns5:r>
      </ns5:oMath>
      <ns0:r>
        <ns0:t xml:space="preserve">, let</ns0:t>
      </ns0:r>
      <ns0:r>
        <ns0:t xml:space="preserve"> </ns0:t>
      </ns0:r>
      <ns5:oMath>
        <ns5:sSub>
          <ns5:e>
            <ns5:r>
              <ns5:t>H</ns5:t>
            </ns5:r>
          </ns5:e>
          <ns5:sub>
            <ns5:r>
              <ns5:t>i</ns5:t>
            </ns5:r>
            <ns5:r>
              <ns5:t>t</ns5:t>
            </ns5:r>
          </ns5:sub>
        </ns5:sSub>
        <ns5:r>
          <ns5:rPr>
            <ns5:sty ns5:val="p"/>
          </ns5:rPr>
          <ns5:t>=</ns5:t>
        </ns5:r>
        <ns5:r>
          <ns5:t>1</ns5:t>
        </ns5:r>
      </ns5:oMath>
      <ns0:r>
        <ns0:t xml:space="preserve"> </ns0:t>
      </ns0:r>
      <ns0:r>
        <ns0:t xml:space="preserve">indicate that the lineage remains in the first-entry risk</ns0:t>
      </ns0:r>
      <ns0:r>
        <ns0:t xml:space="preserve"> </ns0:t>
      </ns0:r>
      <ns0:r>
        <ns0:t xml:space="preserve">set at the start of the year because no earlier observed year reported positive</ns0:t>
      </ns0:r>
      <ns0:r>
        <ns0:t xml:space="preserve"> </ns0:t>
      </ns0:r>
      <ns0:r>
        <ns0:t xml:space="preserve">installed capacity. The primary model is</ns0:t>
      </ns0:r>
    </ns0:p>
    <ns0:p>
      <ns0:pPr>
        <ns0:pStyle ns0:val="af"/>
      </ns0:pPr>
      <ns0:r>
        <ns0:t xml:space="preserve">[</ns0:t>
      </ns0:r>
    </ns0:p>
    <ns0:p>
      <ns0:pPr>
        <ns0:pStyle ns0:val="af"/>
      </ns0:pPr>
      <ns0:r>
        <ns0:t xml:space="preserve">]</ns0:t>
      </ns0:r>
    </ns0:p>
    <ns0:p>
      <ns0:pPr>
        <ns0:pStyle ns0:val="af"/>
      </ns0:pPr>
      <ns0:r>
        <ns0:t xml:space="preserve">where</ns0:t>
      </ns0:r>
      <ns0:r>
        <ns0:t xml:space="preserve"> </ns0:t>
      </ns0:r>
      <ns5:oMath>
        <ns5:sSub>
          <ns5:e>
            <ns5:r>
              <ns5:t>Y</ns5:t>
            </ns5:r>
          </ns5:e>
          <ns5:sub>
            <ns5:r>
              <ns5:t>i</ns5:t>
            </ns5:r>
            <ns5:r>
              <ns5:t>t</ns5:t>
            </ns5:r>
          </ns5:sub>
        </ns5:sSub>
        <ns5:r>
          <ns5:rPr>
            <ns5:sty ns5:val="p"/>
          </ns5:rPr>
          <ns5:t>=</ns5:t>
        </ns5:r>
        <ns5:r>
          <ns5:t>1</ns5:t>
        </ns5:r>
      </ns5:oMath>
      <ns0:r>
        <ns0:t xml:space="preserve"> </ns0:t>
      </ns0:r>
      <ns0:r>
        <ns0:t xml:space="preserve">denotes first reported positive installed capacity,</ns0:t>
      </ns0:r>
      <ns0:r>
        <ns0:t xml:space="preserve"> </ns0:t>
      </ns0:r>
      <ns5:oMath>
        <ns5:r>
          <ns5:t>A</ns5:t>
        </ns5:r>
      </ns5:oMath>
      <ns0:r>
        <ns0:t xml:space="preserve"> </ns0:t>
      </ns0:r>
      <ns0:r>
        <ns0:t xml:space="preserve">is</ns0:t>
      </ns0:r>
      <ns0:r>
        <ns0:t xml:space="preserve"> </ns0:t>
      </ns0:r>
      <ns0:r>
        <ns0:t xml:space="preserve">prior-year reported facility age,</ns0:t>
      </ns0:r>
      <ns0:r>
        <ns0:t xml:space="preserve"> </ns0:t>
      </ns0:r>
      <ns5:oMath>
        <ns5:r>
          <ns5:t>C</ns5:t>
        </ns5:r>
      </ns5:oMath>
      <ns0:r>
        <ns0:t xml:space="preserve"> </ns0:t>
      </ns0:r>
      <ns0:r>
        <ns0:t xml:space="preserve">is prior-year processing design capacity,</ns0:t>
      </ns0:r>
      <ns0:r>
        <ns0:t xml:space="preserve"> </ns0:t>
      </ns0:r>
      <ns0:r>
        <ns0:t xml:space="preserve">and</ns0:t>
      </ns0:r>
      <ns0:r>
        <ns0:t xml:space="preserve"> </ns0:t>
      </ns0:r>
      <ns5:oMath>
        <ns5:r>
          <ns5:t>R</ns5:t>
        </ns5:r>
      </ns5:oMath>
      <ns0:r>
        <ns0:t xml:space="preserve"> </ns0:t>
      </ns0:r>
      <ns0:r>
        <ns0:t xml:space="preserve">is elapsed observed time at risk. Processing capacity is measured in</ns0:t>
      </ns0:r>
      <ns0:r>
        <ns0:t xml:space="preserve"> </ns0:t>
      </ns0:r>
      <ns0:r>
        <ns0:t xml:space="preserve">tonnes per day (t/day). Age is</ns0:t>
      </ns0:r>
      <ns0:r>
        <ns0:t xml:space="preserve"> </ns0:t>
      </ns0:r>
      <ns0:r>
        <ns0:t xml:space="preserve">scaled per ten years and calendar time per five years. Including the intercept,</ns0:t>
      </ns0:r>
      <ns0:r>
        <ns0:t xml:space="preserve"> </ns0:t>
      </ns0:r>
      <ns0:r>
        <ns0:t xml:space="preserve">the specification has five parameters for 35 broad-frame events. The five-parameter specification was selected to remain proportionate to the 35 available events. An expanded 11-parameter model is retained as a sensitivity rather than treated as the primary model. Technology and geography are not added because 35 events cannot</ns0:t>
      </ns0:r>
      <ns0:r>
        <ns0:t xml:space="preserve"> </ns0:t>
      </ns0:r>
      <ns0:r>
        <ns0:t xml:space="preserve">support a larger adjustment set reliably. Their omission is a limitation:</ns0:t>
      </ns0:r>
      <ns0:r>
        <ns0:t xml:space="preserve"> </ns0:t>
      </ns0:r>
      <ns0:r>
        <ns0:t xml:space="preserve">processing scale can absorb unobserved technology, regional, financial, or</ns0:t>
      </ns0:r>
      <ns0:r>
        <ns0:t xml:space="preserve"> </ns0:t>
      </ns0:r>
      <ns0:r>
        <ns0:t xml:space="preserve">municipal differences. Leave-one-prefecture fits below assess concentration and</ns0:t>
      </ns0:r>
      <ns0:r>
        <ns0:t xml:space="preserve"> </ns0:t>
      </ns0:r>
      <ns0:r>
        <ns0:t xml:space="preserve">influence only; they are not geographic-confounding control.</ns0:t>
      </ns0:r>
    </ns0:p>
    <ns0:p>
      <ns0:pPr>
        <ns0:pStyle ns0:val="af"/>
      </ns0:pPr>
      <ns0:r>
        <ns0:t xml:space="preserve">With only 35 modeled events, ordinary maximum-likelihood logistic regression can be biased or produce unstable estimates when predictors nearly separate events from non-events. Firth logistic regression is therefore used because it reduces small-sample bias and retains finite estimates under separation (Firth, 1993; Heinze &amp; Schemper, 2002). Uncertainty is evaluated with 1,999 cluster-bootstrap replications that resample complete administrative lineages, preserving repeated observations from the same lineage. The penalized likelihood is shown in Appendix B.</ns0:t>
      </ns0:r>
    </ns0:p>
    <ns0:p>
      <ns0:pPr>
        <ns0:pStyle ns0:val="af"/>
      </ns0:pPr>
      <ns0:r>
        <ns0:t xml:space="preserve">Four frames are fitted. The broad exact-year frame includes every complete</ns0:t>
      </ns0:r>
      <ns0:r>
        <ns0:t xml:space="preserve"> </ns0:t>
      </ns0:r>
      <ns0:r>
        <ns0:t xml:space="preserve">at-risk row whose lag belongs to the same stable administrative lineage; it can</ns0:t>
      </ns0:r>
      <ns0:r>
        <ns0:t xml:space="preserve"> </ns0:t>
      </ns0:r>
      <ns0:r>
        <ns0:t xml:space="preserve">cross an inferred asset-episode boundary because its estimand is first</ns0:t>
      </ns0:r>
      <ns0:r>
        <ns0:t xml:space="preserve"> </ns0:t>
      </ns0:r>
      <ns0:r>
        <ns0:t xml:space="preserve">administrative-lineage entry. The prior-operation frame is a nested sensitivity</ns0:t>
      </ns0:r>
      <ns0:r>
        <ns0:t xml:space="preserve"> </ns0:t>
      </ns0:r>
      <ns0:r>
        <ns0:t xml:space="preserve">that additionally requires positive prior-year throughput. It is not an</ns0:t>
      </ns0:r>
      <ns0:r>
        <ns0:t xml:space="preserve"> </ns0:t>
      </ns0:r>
      <ns0:r>
        <ns0:t xml:space="preserve">independent comparison group, so differences between it and the broad frame are</ns0:t>
      </ns0:r>
      <ns0:r>
        <ns0:t xml:space="preserve"> </ns0:t>
      </ns0:r>
      <ns0:r>
        <ns0:t xml:space="preserve">not treated as an equality or equivalence test. A same-asset-episode continuity</ns0:t>
      </ns0:r>
      <ns0:r>
        <ns0:t xml:space="preserve"> </ns0:t>
      </ns0:r>
      <ns0:r>
        <ns0:t xml:space="preserve">sensitivity excludes the 59 exact-year rows that cross an inferred episode</ns0:t>
      </ns0:r>
      <ns0:r>
        <ns0:t xml:space="preserve"> </ns0:t>
      </ns0:r>
      <ns0:r>
        <ns0:t xml:space="preserve">boundary, including 11 events. An identity-certain sensitivity excludes every</ns0:t>
      </ns0:r>
      <ns0:r>
        <ns0:t xml:space="preserve"> </ns0:t>
      </ns0:r>
      <ns0:r>
        <ns0:t xml:space="preserve">lineage containing any of the 16 accepted uncertain links. These two additional</ns0:t>
      </ns0:r>
      <ns0:r>
        <ns0:t xml:space="preserve"> </ns0:t>
      </ns0:r>
      <ns0:r>
        <ns0:t xml:space="preserve">frames show whether inference depends on the continuity and linkage rules.</ns0:t>
      </ns0:r>
    </ns0:p>
    <ns0:bookmarkEnd ns0:id="31"/>
    <ns0:bookmarkStart ns0:id="32" ns0:name="translating-the-scale-association"/>
    <ns0:p>
      <ns0:pPr>
        <ns0:pStyle ns0:val="31"/>
      </ns0:pPr>
      <ns0:r>
        <ns0:t xml:space="preserve">3.5.3 Translating the scale association</ns0:t>
      </ns0:r>
    </ns0:p>
    <ns0:p>
      <ns0:pPr>
        <ns0:pStyle ns0:val="FirstParagraph"/>
      </ns0:pPr>
      <ns0:r>
        <ns0:t xml:space="preserve">Odds ratios show relative differences but can obscure how rare entry remains.</ns0:t>
      </ns0:r>
      <ns0:r>
        <ns0:t xml:space="preserve"> </ns0:t>
      </ns0:r>
      <ns0:r>
        <ns0:t xml:space="preserve">The thesis therefore reports both the predefined 300-versus-100 t/day</ns0:t>
      </ns0:r>
      <ns0:r>
        <ns0:t xml:space="preserve"> </ns0:t>
      </ns0:r>
      <ns0:r>
        <ns0:t xml:space="preserve">odds ratio and standardized annual risks at scale values with substantially</ns0:t>
      </ns0:r>
      <ns0:r>
        <ns0:t xml:space="preserve"> </ns0:t>
      </ns0:r>
      <ns0:r>
        <ns0:t xml:space="preserve">greater empirical support.</ns0:t>
      </ns0:r>
    </ns0:p>
    <ns0:p>
      <ns0:pPr>
        <ns0:pStyle ns0:val="af"/>
      </ns0:pPr>
      <ns0:r>
        <ns0:t xml:space="preserve">The 300-versus-100 t/day odds ratio is calculated from the fitted processing-scale coefficient. To show that entry remains uncommon in absolute terms, fitted annual probabilities are also averaged over the observed distributions of age, calendar year, and elapsed risk. This standardization changes only the capacity value while retaining the other observed predictors. The resulting values are adjusted descriptions of the observed risk population, not effects of physically enlarging a facility. Appendix B gives the formulas.</ns0:t>
      </ns0:r>
    </ns0:p>
    <ns0:p>
      <ns0:pPr>
        <ns0:pStyle ns0:val="af"/>
      </ns0:pPr>
      <ns0:r>
        <ns0:t xml:space="preserve">The 300-versus-100 contrast is retained as an upper-tail sensitivity comparison, and its limited empirical support is made explicit. In the broad risk</ns0:t>
      </ns0:r>
      <ns0:r>
        <ns0:t xml:space="preserve"> </ns0:t>
      </ns0:r>
      <ns0:r>
        <ns0:t xml:space="preserve">frame, 24, 60, and 120 t/day are the 25th percentile, median, and 75th</ns0:t>
      </ns0:r>
      <ns0:r>
        <ns0:t xml:space="preserve"> </ns0:t>
      </ns0:r>
      <ns0:r>
        <ns0:t xml:space="preserve">percentile; 300 t/day is approximately the 99th empirical percentile. Only 315</ns0:t>
      </ns0:r>
      <ns0:r>
        <ns0:t xml:space="preserve"> </ns0:t>
      </ns0:r>
      <ns0:r>
        <ns0:t xml:space="preserve">of 15,154 risk rows and four of 35 events occur at or above 300 t/day. The</ns0:t>
      </ns0:r>
      <ns0:r>
        <ns0:t xml:space="preserve"> </ns0:t>
      </ns0:r>
      <ns0:r>
        <ns0:t xml:space="preserve">analysis therefore also standardizes annual risk at 24, 60, and 120 t/day so</ns0:t>
      </ns0:r>
      <ns0:r>
        <ns0:t xml:space="preserve"> </ns0:t>
      </ns0:r>
      <ns0:r>
        <ns0:t xml:space="preserve">that readers can see the fitted gradient in denser regions of the data.</ns0:t>
      </ns0:r>
    </ns0:p>
    <ns0:bookmarkEnd ns0:id="32"/>
    <ns0:bookmarkStart ns0:id="33" ns0:name="sensitivity-and-design-diagnostics"/>
    <ns0:p>
      <ns0:pPr>
        <ns0:pStyle ns0:val="31"/>
      </ns0:pPr>
      <ns0:r>
        <ns0:t xml:space="preserve">3.5.4 Sensitivity and design diagnostics</ns0:t>
      </ns0:r>
    </ns0:p>
    <ns0:p>
      <ns0:pPr>
        <ns0:pStyle ns0:val="FirstParagraph"/>
      </ns0:pPr>
      <ns0:r>
        <ns0:t xml:space="preserve">The remaining checks ask whether the scale profile depends on continuity,</ns0:t>
      </ns0:r>
      <ns0:r>
        <ns0:t xml:space="preserve"> </ns0:t>
      </ns0:r>
      <ns0:r>
        <ns0:t xml:space="preserve">reporting-state, functional-form, or geographic-concentration choices. They</ns0:t>
      </ns0:r>
      <ns0:r>
        <ns0:t xml:space="preserve"> </ns0:t>
      </ns0:r>
      <ns0:r>
        <ns0:t xml:space="preserve">test fragility; they do not convert the association into a causal effect.</ns0:t>
      </ns0:r>
    </ns0:p>
    <ns0:p>
      <ns0:pPr>
        <ns0:pStyle ns0:val="af"/>
      </ns0:pPr>
      <ns0:r>
        <ns0:t xml:space="preserve">The broad exact-year reduced-degree-of-freedom frame is primary. The</ns0:t>
      </ns0:r>
      <ns0:r>
        <ns0:t xml:space="preserve"> </ns0:t>
      </ns0:r>
      <ns0:r>
        <ns0:t xml:space="preserve">prior-operation, same-asset-episode, and identity-certain frames are sensitivity</ns0:t>
      </ns0:r>
      <ns0:r>
        <ns0:t xml:space="preserve"> </ns0:t>
      </ns0:r>
      <ns0:r>
        <ns0:t xml:space="preserve">analyses. The expanded 11-parameter Firth model and conventional logit and</ns0:t>
      </ns0:r>
      <ns0:r>
        <ns0:t xml:space="preserve"> </ns0:t>
      </ns0:r>
      <ns0:r>
        <ns0:t xml:space="preserve">complementary-log-log fits are additional specification and link-function</ns0:t>
      </ns0:r>
      <ns0:r>
        <ns0:t xml:space="preserve"> </ns0:t>
      </ns0:r>
      <ns0:r>
        <ns0:t xml:space="preserve">sensitivities.</ns0:t>
      </ns0:r>
    </ns0:p>
    <ns0:p>
      <ns0:pPr>
        <ns0:pStyle ns0:val="af"/>
      </ns0:pPr>
      <ns0:r>
        <ns0:t xml:space="preserve">Three additional diagnostics test whether the scale result depends on choices</ns0:t>
      </ns0:r>
      <ns0:r>
        <ns0:t xml:space="preserve"> </ns0:t>
      </ns0:r>
      <ns0:r>
        <ns0:t xml:space="preserve">not varied by those four frames. First, the same five-parameter Firth model is</ns0:t>
      </ns0:r>
      <ns0:r>
        <ns0:t xml:space="preserve"> </ns0:t>
      </ns0:r>
      <ns0:r>
        <ns0:t xml:space="preserve">refitted with either</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oMath>
      <ns0:r>
        <ns0:t xml:space="preserve"> </ns0:t>
      </ns0:r>
      <ns0:r>
        <ns0:t xml:space="preserve">or linear</ns0:t>
      </ns0:r>
      <ns0:r>
        <ns0:t xml:space="preserve"> </ns0:t>
      </ns0:r>
      <ns5:oMath>
        <ns5:r>
          <ns5:t>C</ns5:t>
        </ns5:r>
        <ns5:r>
          <ns5:rPr>
            <ns5:sty ns5:val="p"/>
          </ns5:rPr>
          <ns5:t>/</ns5:t>
        </ns5:r>
        <ns5:r>
          <ns5:t>100</ns5:t>
        </ns5:r>
      </ns5:oMath>
      <ns0:r>
        <ns0:t xml:space="preserve"> </ns0:t>
      </ns0:r>
      <ns0:r>
        <ns0:t xml:space="preserve">in place of</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r>
          <ns5:t>100</ns5:t>
        </ns5:r>
        <ns5:r>
          <ns5:rPr>
            <ns5:sty ns5:val="p"/>
          </ns5:rPr>
          <ns5:t>)</ns5:t>
        </ns5:r>
      </ns5:oMath>
      <ns0:r>
        <ns0:t xml:space="preserve">; each coefficient is translated into its own 300-versus-100</ns0:t>
      </ns0:r>
      <ns0:r>
        <ns0:t xml:space="preserve"> </ns0:t>
      </ns0:r>
      <ns0:r>
        <ns0:t xml:space="preserve">t/day contrast. Second, the model is refitted after omitting all risk rows from</ns0:t>
      </ns0:r>
      <ns0:r>
        <ns0:t xml:space="preserve"> </ns0:t>
      </ns0:r>
      <ns0:r>
        <ns0:t xml:space="preserve">each of the 21 prefectures containing a modeled event, one prefecture at a time.</ns0:t>
      </ns0:r>
      <ns0:r>
        <ns0:t xml:space="preserve"> </ns0:t>
      </ns0:r>
      <ns0:r>
        <ns0:t xml:space="preserve">Third, it is fitted to the two-prior-year reporting-state frame defined above.</ns0:t>
      </ns0:r>
      <ns0:r>
        <ns0:t xml:space="preserve"> </ns0:t>
      </ns0:r>
      <ns0:r>
        <ns0:t xml:space="preserve">These diagnostics use model-based intervals and do not replace the 1,999</ns0:t>
      </ns0:r>
      <ns0:r>
        <ns0:t xml:space="preserve"> </ns0:t>
      </ns0:r>
      <ns0:r>
        <ns0:t xml:space="preserve">whole-lineage bootstrap interval for the primary model. They test</ns0:t>
      </ns0:r>
      <ns0:r>
        <ns0:t xml:space="preserve"> </ns0:t>
      </ns0:r>
      <ns0:r>
        <ns0:t xml:space="preserve">functional-form, geographic-concentration, and reporting-state fragility; they</ns0:t>
      </ns0:r>
      <ns0:r>
        <ns0:t xml:space="preserve"> </ns0:t>
      </ns0:r>
      <ns0:r>
        <ns0:t xml:space="preserve">do not establish a causal effect or prove that every coded event is a physical</ns0:t>
      </ns0:r>
      <ns0:r>
        <ns0:t xml:space="preserve"> </ns0:t>
      </ns0:r>
      <ns0:r>
        <ns0:t xml:space="preserve">installation.</ns0:t>
      </ns0:r>
    </ns0:p>
    <ns0:p>
      <ns0:pPr>
        <ns0:pStyle ns0:val="af"/>
      </ns0:pPr>
      <ns0:r>
        <ns0:t xml:space="preserve">Finally, a design audit reports predictor correlations and variance inflation</ns0:t>
      </ns0:r>
      <ns0:r>
        <ns0:t xml:space="preserve"> </ns0:t>
      </ns0:r>
      <ns0:r>
        <ns0:t xml:space="preserve">factors (VIFs). Calendar time and logged elapsed risk are correlated because a</ns0:t>
      </ns0:r>
      <ns0:r>
        <ns0:t xml:space="preserve"> </ns0:t>
      </ns0:r>
      <ns0:r>
        <ns0:t xml:space="preserve">lineage observed for longer also tends to appear later in the panel. The audit</ns0:t>
      </ns0:r>
      <ns0:r>
        <ns0:t xml:space="preserve"> </ns0:t>
      </ns0:r>
      <ns0:r>
        <ns0:t xml:space="preserve">therefore limits interpretation of those temporal coefficients and checks</ns0:t>
      </ns0:r>
      <ns0:r>
        <ns0:t xml:space="preserve"> </ns0:t>
      </ns0:r>
      <ns0:r>
        <ns0:t xml:space="preserve">whether that dependence extends to the processing-scale term. The flexible</ns0:t>
      </ns0:r>
      <ns0:r>
        <ns0:t xml:space="preserve"> </ns0:t>
      </ns0:r>
      <ns0:r>
        <ns0:t xml:space="preserve">calendar-era and duration-band model remains the corresponding specification</ns0:t>
      </ns0:r>
      <ns0:r>
        <ns0:t xml:space="preserve"> </ns0:t>
      </ns0:r>
      <ns0:r>
        <ns0:t xml:space="preserve">sensitivity.</ns0:t>
      </ns0:r>
    </ns0:p>
    <ns0:bookmarkEnd ns0:id="33"/>
    <ns0:bookmarkEnd ns0:id="34"/>
    <ns0:bookmarkStart ns0:id="39" ns0:name="X297af9bf142c83d406782ebfc137e357f0ca4c6"/>
    <ns0:p>
      <ns0:pPr>
        <ns0:pStyle ns0:val="21"/>
      </ns0:pPr>
      <ns0:r>
        <ns0:t xml:space="preserve">3.6 RQ3: engineering decomposition and component models</ns0:t>
      </ns0:r>
    </ns0:p>
    <ns0:bookmarkStart ns0:id="35" ns0:name="quantities-and-analysis-sample"/>
    <ns0:p>
      <ns0:pPr>
        <ns0:pStyle ns0:val="31"/>
      </ns0:pPr>
      <ns0:r>
        <ns0:t xml:space="preserve">3.6.1 Quantities and analysis sample</ns0:t>
      </ns0:r>
    </ns0:p>
    <ns0:p>
      <ns0:pPr>
        <ns0:pStyle ns0:val="FirstParagraph"/>
      </ns0:pPr>
      <ns0:r>
        <ns0:t xml:space="preserve">This section proceeds in two steps. First, it models installed generator size</ns0:t>
      </ns0:r>
      <ns0:r>
        <ns0:t xml:space="preserve"> </ns0:t>
      </ns0:r>
      <ns0:r>
        <ns0:t xml:space="preserve">and annual use as separate outcomes. Second, it uses an exact accounting</ns0:t>
      </ns0:r>
      <ns0:r>
        <ns0:t xml:space="preserve"> </ns0:t>
      </ns0:r>
      <ns0:r>
        <ns0:t xml:space="preserve">identity to show how those components combine with waste loading to produce</ns0:t>
      </ns0:r>
      <ns0:r>
        <ns0:t xml:space="preserve"> </ns0:t>
      </ns0:r>
      <ns0:r>
        <ns0:t xml:space="preserve">gross MWh/t. The identity organizes interpretation; it is not a second source</ns0:t>
      </ns0:r>
      <ns0:r>
        <ns0:t xml:space="preserve"> </ns0:t>
      </ns0:r>
      <ns0:r>
        <ns0:t xml:space="preserve">of empirical evidence.</ns0:t>
      </ns0:r>
    </ns0:p>
    <ns0:p>
      <ns0:pPr>
        <ns0:pStyle ns0:val="af"/>
      </ns0:pPr>
      <ns0:r>
        <ns0:t xml:space="preserve">The engineering analysis separates what is installed from how intensively it is</ns0:t>
      </ns0:r>
      <ns0:r>
        <ns0:t xml:space="preserve"> </ns0:t>
      </ns0:r>
      <ns0:r>
        <ns0:t xml:space="preserve">used. Let</ns0:t>
      </ns0:r>
      <ns0:r>
        <ns0:t xml:space="preserve"> </ns0:t>
      </ns0:r>
      <ns5:oMath>
        <ns5:sSub>
          <ns5:e>
            <ns5:r>
              <ns5:t>G</ns5:t>
            </ns5:r>
          </ns5:e>
          <ns5:sub>
            <ns5:r>
              <ns5:t>i</ns5:t>
            </ns5:r>
            <ns5:r>
              <ns5:t>t</ns5:t>
            </ns5:r>
          </ns5:sub>
        </ns5:sSub>
      </ns5:oMath>
      <ns0:r>
        <ns0:t xml:space="preserve"> </ns0:t>
      </ns0:r>
      <ns0:r>
        <ns0:t xml:space="preserve">be annual gross generation in megawatt-hours (MWh),</ns0:t>
      </ns0:r>
      <ns0:r>
        <ns0:t xml:space="preserve"> </ns0:t>
      </ns0:r>
      <ns5:oMath>
        <ns5:sSub>
          <ns5:e>
            <ns5:r>
              <ns5:t>W</ns5:t>
            </ns5:r>
          </ns5:e>
          <ns5:sub>
            <ns5:r>
              <ns5:t>i</ns5:t>
            </ns5:r>
            <ns5:r>
              <ns5:t>t</ns5:t>
            </ns5:r>
          </ns5:sub>
        </ns5:sSub>
      </ns5:oMath>
      <ns0:r>
        <ns0:t xml:space="preserve"> </ns0:t>
      </ns0:r>
      <ns0:r>
        <ns0:t xml:space="preserve">annual throughput in tonnes,</ns0:t>
      </ns0:r>
      <ns0:r>
        <ns0:t xml:space="preserve"> </ns0:t>
      </ns0:r>
      <ns5:oMath>
        <ns5:sSub>
          <ns5:e>
            <ns5:r>
              <ns5:t>K</ns5:t>
            </ns5:r>
          </ns5:e>
          <ns5:sub>
            <ns5:r>
              <ns5:t>i</ns5:t>
            </ns5:r>
            <ns5:r>
              <ns5:t>t</ns5:t>
            </ns5:r>
          </ns5:sub>
        </ns5:sSub>
      </ns5:oMath>
      <ns0:r>
        <ns0:t xml:space="preserve"> </ns0:t>
      </ns0:r>
      <ns0:r>
        <ns0:t xml:space="preserve">installed electrical capacity in</ns0:t>
      </ns0:r>
      <ns0:r>
        <ns0:t xml:space="preserve"> </ns0:t>
      </ns0:r>
      <ns0:r>
        <ns0:t xml:space="preserve">kilowatts (kW), and</ns0:t>
      </ns0:r>
      <ns0:r>
        <ns0:t xml:space="preserve"> </ns0:t>
      </ns0:r>
      <ns5:oMath>
        <ns5:sSub>
          <ns5:e>
            <ns5:r>
              <ns5:t>C</ns5:t>
            </ns5:r>
          </ns5:e>
          <ns5:sub>
            <ns5:r>
              <ns5:t>i</ns5:t>
            </ns5:r>
            <ns5:r>
              <ns5:t>t</ns5:t>
            </ns5:r>
          </ns5:sub>
        </ns5:sSub>
      </ns5:oMath>
      <ns0:r>
        <ns0:t xml:space="preserve"> </ns0:t>
      </ns0:r>
      <ns0:r>
        <ns0:t xml:space="preserve">waste-processing design capacity in tonnes per day</ns0:t>
      </ns0:r>
      <ns0:r>
        <ns0:t xml:space="preserve"> </ns0:t>
      </ns0:r>
      <ns0:r>
        <ns0:t xml:space="preserve">(t/day). Define</ns0:t>
      </ns0:r>
    </ns0:p>
    <ns0:p>
      <ns0:pPr>
        <ns0:pStyle ns0:val="af"/>
      </ns0:pPr>
      <ns0:r>
        <ns0:t xml:space="preserve">[</ns0:t>
      </ns0:r>
      <ns0:r>
        <ns0:t xml:space="preserve"> </ns0:t>
      </ns0:r>
      <ns0:r>
        <ns0:t xml:space="preserve">Y_{it}=</ns0:t>
      </ns0:r>
      <ns0:r>
        <ns0:t xml:space="preserve"> </ns0:t>
      </ns0:r>
      <ns0:r>
        <ns0:t xml:space="preserve">,</ns0:t>
      </ns0:r>
      <ns0:r>
        <ns0:t xml:space="preserve"> </ns0:t>
      </ns0:r>
      <ns0:r>
        <ns0:t xml:space="preserve">]</ns0:t>
      </ns0:r>
    </ns0:p>
    <ns0:p>
      <ns0:pPr>
        <ns0:pStyle ns0:val="af"/>
      </ns0:pPr>
      <ns0:r>
        <ns0:t xml:space="preserve">[</ns0:t>
      </ns0:r>
      <ns0:r>
        <ns0:t xml:space="preserve"> </ns0:t>
      </ns0:r>
      <ns0:r>
        <ns0:t xml:space="preserve">D_{it}=</ns0:t>
      </ns0:r>
      <ns0:r>
        <ns0:t xml:space="preserve"> </ns0:t>
      </ns0:r>
      <ns0:r>
        <ns0:t xml:space="preserve">,</ns0:t>
      </ns0:r>
      <ns0:r>
        <ns0:t xml:space="preserve"> </ns0:t>
      </ns0:r>
      <ns0:r>
        <ns0:t xml:space="preserve">]</ns0:t>
      </ns0:r>
    </ns0:p>
    <ns0:p>
      <ns0:pPr>
        <ns0:pStyle ns0:val="af"/>
      </ns0:pPr>
      <ns0:r>
        <ns0:t xml:space="preserve">[</ns0:t>
      </ns0:r>
      <ns0:r>
        <ns0:t xml:space="preserve"> </ns0:t>
      </ns0:r>
      <ns0:r>
        <ns0:t xml:space="preserve">F_{it}=</ns0:t>
      </ns0:r>
      <ns0:r>
        <ns0:t xml:space="preserve"> </ns0:t>
      </ns0:r>
      <ns0:r>
        <ns0:t xml:space="preserve">,</ns0:t>
      </ns0:r>
      <ns0:r>
        <ns0:t xml:space="preserve"> </ns0:t>
      </ns0:r>
      <ns0:r>
        <ns0:t xml:space="preserve">]</ns0:t>
      </ns0:r>
    </ns0:p>
    <ns0:p>
      <ns0:pPr>
        <ns0:pStyle ns0:val="af"/>
      </ns0:pPr>
      <ns0:r>
        <ns0:t xml:space="preserve">and</ns0:t>
      </ns0:r>
    </ns0:p>
    <ns0:p>
      <ns0:pPr>
        <ns0:pStyle ns0:val="af"/>
      </ns0:pPr>
      <ns0:r>
        <ns0:t xml:space="preserve">[</ns0:t>
      </ns0:r>
      <ns0:r>
        <ns0:t xml:space="preserve"> </ns0:t>
      </ns0:r>
      <ns0:r>
        <ns0:t xml:space="preserve">U_{it}=</ns0:t>
      </ns0:r>
      <ns0:r>
        <ns0:t xml:space="preserve"> </ns0:t>
      </ns0:r>
      <ns0:r>
        <ns0:t xml:space="preserve">.</ns0:t>
      </ns0:r>
      <ns0:r>
        <ns0:t xml:space="preserve"> </ns0:t>
      </ns0:r>
      <ns0:r>
        <ns0:t xml:space="preserve">]</ns0:t>
      </ns0:r>
    </ns0:p>
    <ns0:p>
      <ns0:pPr>
        <ns0:pStyle ns0:val="af"/>
      </ns0:pPr>
      <ns0:r>
        <ns0:t xml:space="preserve">The factor 8.76 converts one kW operating for 8,760 hours into annual MWh. These</ns0:t>
      </ns0:r>
      <ns0:r>
        <ns0:t xml:space="preserve"> </ns0:t>
      </ns0:r>
      <ns0:r>
        <ns0:t xml:space="preserve">quantities come from annual administrative reports rather than continuous meter</ns0:t>
      </ns0:r>
      <ns0:r>
        <ns0:t xml:space="preserve"> </ns0:t>
      </ns0:r>
      <ns0:r>
        <ns0:t xml:space="preserve">or dispatch records. Accordingly, this thesis treats</ns0:t>
      </ns0:r>
      <ns0:r>
        <ns0:t xml:space="preserve"> </ns0:t>
      </ns0:r>
      <ns5:oMath>
        <ns5:sSub>
          <ns5:e>
            <ns5:r>
              <ns5:t>F</ns5:t>
            </ns5:r>
          </ns5:e>
          <ns5:sub>
            <ns5:r>
              <ns5:t>i</ns5:t>
            </ns5:r>
            <ns5:r>
              <ns5:t>t</ns5:t>
            </ns5:r>
          </ns5:sub>
        </ns5:sSub>
      </ns5:oMath>
      <ns0:r>
        <ns0:t xml:space="preserve"> </ns0:t>
      </ns0:r>
      <ns0:r>
        <ns0:t xml:space="preserve">as an</ns0:t>
      </ns0:r>
      <ns0:r>
        <ns0:t xml:space="preserve"> </ns0:t>
      </ns0:r>
      <ns0:r>
        <ns0:t xml:space="preserve">administrative annual electrical capacity-factor proxy; later references to</ns0:t>
      </ns0:r>
      <ns0:r>
        <ns0:t xml:space="preserve"> </ns0:t>
      </ns0:r>
      <ns0:r>
        <ns0:t xml:space="preserve">“capacity factor”</ns0:t>
      </ns0:r>
      <ns0:r>
        <ns0:t xml:space="preserve"> </ns0:t>
      </ns0:r>
      <ns0:r>
        <ns0:t xml:space="preserve">use this bounded meaning. The definitions imply the exact</ns0:t>
      </ns0:r>
      <ns0:r>
        <ns0:t xml:space="preserve"> </ns0:t>
      </ns0:r>
      <ns0:r>
        <ns0:t xml:space="preserve">facility-year identity</ns0:t>
      </ns0:r>
    </ns0:p>
    <ns0:p>
      <ns0:pPr>
        <ns0:pStyle ns0:val="af"/>
      </ns0:pPr>
      <ns0:r>
        <ns0:t xml:space="preserve">[</ns0:t>
      </ns0:r>
      <ns0:r>
        <ns0:t xml:space="preserve"> </ns0:t>
      </ns0:r>
      <ns0:r>
        <ns0:t xml:space="preserve">Y_{it}=</ns0:t>
      </ns0:r>
      <ns0:r>
        <ns0:t xml:space="preserve"> </ns0:t>
      </ns0:r>
      <ns0:r>
        <ns0:t xml:space="preserve">=0.024</ns0:t>
      </ns0:r>
      <ns0:r>
        <ns0:t xml:space="preserve">.</ns0:t>
      </ns0:r>
      <ns0:r>
        <ns0:t xml:space="preserve"> </ns0:t>
      </ns0:r>
      <ns0:r>
        <ns0:t xml:space="preserve">]</ns0:t>
      </ns0:r>
    </ns0:p>
    <ns0:p>
      <ns0:pPr>
        <ns0:pStyle ns0:val="af"/>
      </ns0:pPr>
      <ns0:r>
        <ns0:t xml:space="preserve">Gross MWh/t is thus a ratio produced jointly by installed sizing, annual use of</ns0:t>
      </ns0:r>
      <ns0:r>
        <ns0:t xml:space="preserve"> </ns0:t>
      </ns0:r>
      <ns0:r>
        <ns0:t xml:space="preserve">that electrical capacity, and annual waste loading. The identity does not say</ns0:t>
      </ns0:r>
      <ns0:r>
        <ns0:t xml:space="preserve"> </ns0:t>
      </ns0:r>
      <ns0:r>
        <ns0:t xml:space="preserve">that any one component is exogenous. For example, throughput, capacity factor,</ns0:t>
      </ns0:r>
      <ns0:r>
        <ns0:t xml:space="preserve"> </ns0:t>
      </ns0:r>
      <ns0:r>
        <ns0:t xml:space="preserve">maintenance, and waste composition may be jointly determined during a year.</ns0:t>
      </ns0:r>
    </ns0:p>
    <ns0:p>
      <ns0:pPr>
        <ns0:pStyle ns0:val="af"/>
      </ns0:pPr>
      <ns0:r>
        <ns0:t xml:space="preserve">The primary sample requires positive installed capacity, throughput, and gross</ns0:t>
      </ns0:r>
      <ns0:r>
        <ns0:t xml:space="preserve"> </ns0:t>
      </ns0:r>
      <ns0:r>
        <ns0:t xml:space="preserve">output. Values are excluded rather than clipped if gross intensity falls</ns0:t>
      </ns0:r>
      <ns0:r>
        <ns0:t xml:space="preserve"> </ns0:t>
      </ns0:r>
      <ns0:r>
        <ns0:t xml:space="preserve">outside 0.01-0.80 MWh/t, electrical capacity factor outside 0.02-1.20,</ns0:t>
      </ns0:r>
      <ns0:r>
        <ns0:t xml:space="preserve"> </ns0:t>
      </ns0:r>
      <ns0:r>
        <ns0:t xml:space="preserve">waste-processing utilization outside 0.02-1.20, or generator design intensity</ns0:t>
      </ns0:r>
      <ns0:r>
        <ns0:t xml:space="preserve"> </ns0:t>
      </ns0:r>
      <ns0:r>
        <ns0:t xml:space="preserve">outside 0.1-100 kW per t/day. A non-missing non-negative reported age and all</ns0:t>
      </ns0:r>
      <ns0:r>
        <ns0:t xml:space="preserve"> </ns0:t>
      </ns0:r>
      <ns0:r>
        <ns0:t xml:space="preserve">model fields are also required. Of 6,660 positive-throughput, positive-output</ns0:t>
      </ns0:r>
      <ns0:r>
        <ns0:t xml:space="preserve"> </ns0:t>
      </ns0:r>
      <ns0:r>
        <ns0:t xml:space="preserve">rows, 149 fail at least one check, leaving 6,511 rows across 493 lineages.</ns0:t>
      </ns0:r>
      <ns0:r>
        <ns0:t xml:space="preserve"> </ns0:t>
      </ns0:r>
      <ns0:r>
        <ns0:t xml:space="preserve">Heating value between 3 and 25 megajoules per kilogram (MJ/kg) is audited as a</ns0:t>
      </ns0:r>
      <ns0:r>
        <ns0:t xml:space="preserve"> </ns0:t>
      </ns0:r>
      <ns0:r>
        <ns0:t xml:space="preserve">plausibility field but is not an inclusion condition for the primary component</ns0:t>
      </ns0:r>
      <ns0:r>
        <ns0:t xml:space="preserve"> </ns0:t>
      </ns0:r>
      <ns0:r>
        <ns0:t xml:space="preserve">models; 102 otherwise valid rows lack it.</ns0:t>
      </ns0:r>
    </ns0:p>
    <ns0:p>
      <ns0:pPr>
        <ns0:pStyle ns0:val="af"/>
      </ns0:pPr>
      <ns0:r>
        <ns0:t xml:space="preserve">These thresholds are broad plausibility screens, not engineering-performance</ns0:t>
      </ns0:r>
      <ns0:r>
        <ns0:t xml:space="preserve"> </ns0:t>
      </ns0:r>
      <ns0:r>
        <ns0:t xml:space="preserve">standards and not cut points selected to optimize the reported estimates. The</ns0:t>
      </ns0:r>
      <ns0:r>
        <ns0:t xml:space="preserve"> </ns0:t>
      </ns0:r>
      <ns0:r>
        <ns0:t xml:space="preserve">lower bounds remove zeros and near-zero ratios that are inconsistent with the</ns0:t>
      </ns0:r>
      <ns0:r>
        <ns0:t xml:space="preserve"> </ns0:t>
      </ns0:r>
      <ns0:r>
        <ns0:t xml:space="preserve">intended operating-generator-year frame. The 1.20 upper bounds for capacity</ns0:t>
      </ns0:r>
      <ns0:r>
        <ns0:t xml:space="preserve"> </ns0:t>
      </ns0:r>
      <ns0:r>
        <ns0:t xml:space="preserve">factor and waste utilization deliberately allow moderate calendar, reporting,</ns0:t>
      </ns0:r>
      <ns0:r>
        <ns0:t xml:space="preserve"> </ns0:t>
      </ns0:r>
      <ns0:r>
        <ns0:t xml:space="preserve">and denominator mismatch instead of treating 1.00 as an error-free physical</ns0:t>
      </ns0:r>
      <ns0:r>
        <ns0:t xml:space="preserve"> </ns0:t>
      </ns0:r>
      <ns0:r>
        <ns0:t xml:space="preserve">ceiling. Only 5 of 6,511 retained capacity-factor rows exceed 1.00, and the</ns0:t>
      </ns0:r>
      <ns0:r>
        <ns0:t xml:space="preserve"> </ns0:t>
      </ns0:r>
      <ns0:r>
        <ns0:t xml:space="preserve">principal component conclusions remain stable under the conservative-bound</ns0:t>
      </ns0:r>
      <ns0:r>
        <ns0:t xml:space="preserve"> </ns0:t>
      </ns0:r>
      <ns0:r>
        <ns0:t xml:space="preserve">sensitivity. The wide design-intensity range permits heterogeneous generator sizing</ns0:t>
      </ns0:r>
      <ns0:r>
        <ns0:t xml:space="preserve"> </ns0:t>
      </ns0:r>
      <ns0:r>
        <ns0:t xml:space="preserve">while removing ratios likely driven by unit or field errors. Conservative and</ns0:t>
      </ns0:r>
      <ns0:r>
        <ns0:t xml:space="preserve"> </ns0:t>
      </ns0:r>
      <ns0:r>
        <ns0:t xml:space="preserve">broad predefined-bound sensitivities test whether the conclusions depend on</ns0:t>
      </ns0:r>
      <ns0:r>
        <ns0:t xml:space="preserve"> </ns0:t>
      </ns0:r>
      <ns0:r>
        <ns0:t xml:space="preserve">these choices; unusual valid observations may nevertheless be excluded, and</ns0:t>
      </ns0:r>
      <ns0:r>
        <ns0:t xml:space="preserve"> </ns0:t>
      </ns0:r>
      <ns0:r>
        <ns0:t xml:space="preserve">plausible-looking errors may remain.</ns0:t>
      </ns0:r>
    </ns0:p>
    <ns0:bookmarkEnd ns0:id="35"/>
    <ns0:bookmarkStart ns0:id="36" ns0:name="primary-component-models"/>
    <ns0:p>
      <ns0:pPr>
        <ns0:pStyle ns0:val="31"/>
      </ns0:pPr>
      <ns0:r>
        <ns0:t xml:space="preserve">3.6.2 Primary component models</ns0:t>
      </ns0:r>
    </ns0:p>
    <ns0:p>
      <ns0:pPr>
        <ns0:pStyle ns0:val="FirstParagraph"/>
      </ns0:pPr>
      <ns0:r>
        <ns0:t xml:space="preserve">The first pair of models asks whether reported start-year cohorts differ in raw</ns0:t>
      </ns0:r>
      <ns0:r>
        <ns0:t xml:space="preserve"> </ns0:t>
      </ns0:r>
      <ns0:r>
        <ns0:t xml:space="preserve">installed generator size and annual electrical-capacity use after comparing</ns0:t>
      </ns0:r>
      <ns0:r>
        <ns0:t xml:space="preserve"> </ns0:t>
      </ns0:r>
      <ns0:r>
        <ns0:t xml:space="preserve">records with the same observed scale, technology, furnace count, and fiscal</ns0:t>
      </ns0:r>
      <ns0:r>
        <ns0:t xml:space="preserve"> </ns0:t>
      </ns0:r>
      <ns0:r>
        <ns0:t xml:space="preserve">year. Keeping these outcomes separate prevents gross MWh/t from acting as an</ns0:t>
      </ns0:r>
      <ns0:r>
        <ns0:t xml:space="preserve"> </ns0:t>
      </ns0:r>
      <ns0:r>
        <ns0:t xml:space="preserve">ambiguous stand-alone performance score.</ns0:t>
      </ns0:r>
    </ns0:p>
    <ns0:p>
      <ns0:pPr>
        <ns0:pStyle ns0:val="af"/>
      </ns0:pPr>
      <ns0:r>
        <ns0:t xml:space="preserve">Two pooled ordinary-least-squares models are estimated with standard errors clustered by administrative lineage (Wooldridge, 2010). The first models reported installed electrical capacity after adjustment for processing scale, start-year cohort, furnace count, technology groups, and fiscal year. The second models annual electrical capacity factor with the same adjustment set plus waste-processing utilization. The 2010-or-later start-year cohort is the reference group. Reported facility start year is an administrative cohort marker, not a verified generator-installation date. A separate gross-output model relates reported generation to annual throughput and installed capacity under the same cohort, technology, furnace-count, and year adjustments. Appendix B gives the full specifications.</ns0:t>
      </ns0:r>
    </ns0:p>
    <ns0:bookmarkEnd ns0:id="36"/>
    <ns0:bookmarkStart ns0:id="37" ns0:name="common-control-accounting-decomposition"/>
    <ns0:p>
      <ns0:pPr>
        <ns0:pStyle ns0:val="31"/>
      </ns0:pPr>
      <ns0:r>
        <ns0:t xml:space="preserve">3.6.3 Common-control accounting decomposition</ns0:t>
      </ns0:r>
    </ns0:p>
    <ns0:p>
      <ns0:pPr>
        <ns0:pStyle ns0:val="FirstParagraph"/>
      </ns0:pPr>
      <ns0:r>
        <ns0:t xml:space="preserve">This second step is an accounting reconciliation rather than another</ns0:t>
      </ns0:r>
      <ns0:r>
        <ns0:t xml:space="preserve"> </ns0:t>
      </ns0:r>
      <ns0:r>
        <ns0:t xml:space="preserve">performance test. By applying exactly the same rows and controls to every</ns0:t>
      </ns0:r>
      <ns0:r>
        <ns0:t xml:space="preserve"> </ns0:t>
      </ns0:r>
      <ns0:r>
        <ns0:t xml:space="preserve">component, it allocates each adjusted gross-intensity contrast among installed</ns0:t>
      </ns0:r>
      <ns0:r>
        <ns0:t xml:space="preserve"> </ns0:t>
      </ns0:r>
      <ns0:r>
        <ns0:t xml:space="preserve">sizing, annual electrical-capacity use, and waste loading.</ns0:t>
      </ns0:r>
    </ns0:p>
    <ns0:p>
      <ns0:pPr>
        <ns0:pStyle ns0:val="af"/>
      </ns0:pPr>
      <ns0:r>
        <ns0:t xml:space="preserve">Four additional regressions use exactly the same rows and control variables for generator design intensity, capacity factor, waste utilization, and gross generation intensity. Because the four outcomes are algebraically connected, each adjusted gross-intensity cohort gap equals the generator-design component plus the capacity-factor component minus the waste-utilization component. Appendix B reports the formal regression system.</ns0:t>
      </ns0:r>
    </ns0:p>
    <ns0:p>
      <ns0:pPr>
        <ns0:pStyle ns0:val="af"/>
      </ns0:pPr>
      <ns0:r>
        <ns0:t xml:space="preserve">This common-control identity decomposition is an accounting reconciliation of</ns0:t>
      </ns0:r>
      <ns0:r>
        <ns0:t xml:space="preserve"> </ns0:t>
      </ns0:r>
      <ns0:r>
        <ns0:t xml:space="preserve">the relative log-scale components of generator sizing, annual electrical-</ns0:t>
      </ns0:r>
      <ns0:r>
        <ns0:t xml:space="preserve"> </ns0:t>
      </ns0:r>
      <ns0:r>
        <ns0:t xml:space="preserve">capacity use, and waste loading. Because the equality is guaranteed by the</ns0:t>
      </ns0:r>
      <ns0:r>
        <ns0:t xml:space="preserve"> </ns0:t>
      </ns0:r>
      <ns0:r>
        <ns0:t xml:space="preserve">definitions and identical regression design matrices, it cannot independently</ns0:t>
      </ns0:r>
      <ns0:r>
        <ns0:t xml:space="preserve"> </ns0:t>
      </ns0:r>
      <ns0:r>
        <ns0:t xml:space="preserve">confirm the outcome models or establish causal mediation. It is distinct from</ns0:t>
      </ns0:r>
      <ns0:r>
        <ns0:t xml:space="preserve"> </ns0:t>
      </ns0:r>
      <ns0:r>
        <ns0:t xml:space="preserve">the primary capacity-factor model above, which</ns0:t>
      </ns0:r>
      <ns0:r>
        <ns0:t xml:space="preserve"> </ns0:t>
      </ns0:r>
      <ns0:r>
        <ns0:t xml:space="preserve">includes</ns0:t>
      </ns0:r>
      <ns0:r>
        <ns0:t xml:space="preserve"> </ns0:t>
      </ns0:r>
      <ns5:oMath>
        <ns5:r>
          <ns5:t>U</ns5:t>
        </ns5:r>
      </ns5:oMath>
      <ns0:r>
        <ns0:t xml:space="preserve"> </ns0:t>
      </ns0:r>
      <ns0:r>
        <ns0:t xml:space="preserve">and asks how capacity factor differs at equal observed waste</ns0:t>
      </ns0:r>
      <ns0:r>
        <ns0:t xml:space="preserve"> </ns0:t>
      </ns0:r>
      <ns0:r>
        <ns0:t xml:space="preserve">utilization. Those conditional capacity-factor coefficients cannot be inserted</ns0:t>
      </ns0:r>
      <ns0:r>
        <ns0:t xml:space="preserve"> </ns0:t>
      </ns0:r>
      <ns0:r>
        <ns0:t xml:space="preserve">into the component sum. A sensitivity excludes the 14 lineages whose reported</ns0:t>
      </ns0:r>
      <ns0:r>
        <ns0:t xml:space="preserve"> </ns0:t>
      </ns0:r>
      <ns0:r>
        <ns0:t xml:space="preserve">facility start-year cohort changes during follow-up, leaving 6,291 rows across 479</ns0:t>
      </ns0:r>
      <ns0:r>
        <ns0:t xml:space="preserve"> </ns0:t>
      </ns0:r>
      <ns0:r>
        <ns0:t xml:space="preserve">lineages.</ns0:t>
      </ns0:r>
    </ns0:p>
    <ns0:bookmarkEnd ns0:id="37"/>
    <ns0:bookmarkStart ns0:id="38" ns0:name="X8ca522ad77baa5e5419d36cc84a87d308b006c9"/>
    <ns0:p>
      <ns0:pPr>
        <ns0:pStyle ns0:val="31"/>
      </ns0:pPr>
      <ns0:r>
        <ns0:t xml:space="preserve">3.6.4 Diagnostics, robustness, and exploratory extension</ns0:t>
      </ns0:r>
    </ns0:p>
    <ns0:p>
      <ns0:pPr>
        <ns0:pStyle ns0:val="FirstParagraph"/>
      </ns0:pPr>
      <ns0:r>
        <ns0:t xml:space="preserve">These checks examine whether the component interpretation survives alternative</ns0:t>
      </ns0:r>
      <ns0:r>
        <ns0:t xml:space="preserve"> </ns0:t>
      </ns0:r>
      <ns0:r>
        <ns0:t xml:space="preserve">samples, bounds, time periods, and within-episode comparisons. The final</ns0:t>
      </ns0:r>
      <ns0:r>
        <ns0:t xml:space="preserve"> </ns0:t>
      </ns0:r>
      <ns0:r>
        <ns0:t xml:space="preserve">pathway comparison remains exploratory because observed administrative labels</ns0:t>
      </ns0:r>
      <ns0:r>
        <ns0:t xml:space="preserve"> </ns0:t>
      </ns0:r>
      <ns0:r>
        <ns0:t xml:space="preserve">cannot identify physical project mechanisms.</ns0:t>
      </ns0:r>
    </ns0:p>
    <ns0:p>
      <ns0:pPr>
        <ns0:pStyle ns0:val="af"/>
      </ns0:pPr>
      <ns0:r>
        <ns0:t xml:space="preserve">A specification diagnostic compares a baseline regression of</ns0:t>
      </ns0:r>
      <ns0:r>
        <ns0:t xml:space="preserve"> </ns0:t>
      </ns0:r>
      <ns5:oMath>
        <ns5:r>
          <ns5:rPr>
            <ns5:sty ns5:val="p"/>
          </ns5:rPr>
          <ns5:t>log</ns5:t>
        </ns5:r>
        <ns5:r>
          <ns5:t>Y</ns5:t>
        </ns5:r>
      </ns5:oMath>
      <ns0:r>
        <ns0:t xml:space="preserve"> </ns0:t>
      </ns0:r>
      <ns0:r>
        <ns0:t xml:space="preserve">on</ns0:t>
      </ns0:r>
      <ns0:r>
        <ns0:t xml:space="preserve"> </ns0:t>
      </ns0:r>
      <ns0:r>
        <ns0:t xml:space="preserve">reported age, processing scale, waste utilization, heating value, technology,</ns0:t>
      </ns0:r>
      <ns0:r>
        <ns0:t xml:space="preserve"> </ns0:t>
      </ns0:r>
      <ns0:r>
        <ns0:t xml:space="preserve">and year with the same model after adding</ns0:t>
      </ns0:r>
      <ns0:r>
        <ns0:t xml:space="preserve"> </ns0:t>
      </ns0:r>
      <ns5:oMath>
        <ns5:r>
          <ns5:rPr>
            <ns5:sty ns5:val="p"/>
          </ns5:rPr>
          <ns5:t>log</ns5:t>
        </ns5:r>
        <ns5:r>
          <ns5:t>D</ns5:t>
        </ns5:r>
      </ns5:oMath>
      <ns0:r>
        <ns0:t xml:space="preserve">. Both specifications use the</ns0:t>
      </ns0:r>
      <ns0:r>
        <ns0:t xml:space="preserve"> </ns0:t>
      </ns0:r>
      <ns0:r>
        <ns0:t xml:space="preserve">5,806 engineering-valid rows with reported heating value in the 3-25 MJ/kg</ns0:t>
      </ns0:r>
      <ns0:r>
        <ns0:t xml:space="preserve"> </ns0:t>
      </ns0:r>
      <ns0:r>
        <ns0:t xml:space="preserve">plausibility range. This is not a causal mediation design. It asks whether</ns0:t>
      </ns0:r>
      <ns0:r>
        <ns0:t xml:space="preserve"> </ns0:t>
      </ns0:r>
      <ns0:r>
        <ns0:t xml:space="preserve">coefficients previously attributed to age, scale, or utilization are stable</ns0:t>
      </ns0:r>
      <ns0:r>
        <ns0:t xml:space="preserve"> </ns0:t>
      </ns0:r>
      <ns0:r>
        <ns0:t xml:space="preserve">after the omitted installed-sizing component is represented.</ns0:t>
      </ns0:r>
    </ns0:p>
    <ns0:p>
      <ns0:pPr>
        <ns0:pStyle ns0:val="af"/>
      </ns0:pPr>
      <ns0:r>
        <ns0:t xml:space="preserve">Robustness checks split the period into FY2005-FY2014 and FY2015-FY2024, give</ns0:t>
      </ns0:r>
      <ns0:r>
        <ns0:t xml:space="preserve"> </ns0:t>
      </ns0:r>
      <ns0:r>
        <ns0:t xml:space="preserve">each lineage equal total weight, and apply conservative and broad predefined</ns0:t>
      </ns0:r>
      <ns0:r>
        <ns0:t xml:space="preserve"> </ns0:t>
      </ns0:r>
      <ns0:r>
        <ns0:t xml:space="preserve">engineering bounds. Asset-episode fixed effects and exact-adjacent first</ns0:t>
      </ns0:r>
      <ns0:r>
        <ns0:t xml:space="preserve"> </ns0:t>
      </ns0:r>
      <ns0:r>
        <ns0:t xml:space="preserve">differences are used only for operating components that vary meaningfully</ns0:t>
      </ns0:r>
      <ns0:r>
        <ns0:t xml:space="preserve"> </ns0:t>
      </ns0:r>
      <ns0:r>
        <ns0:t xml:space="preserve">within an episode. Design intensity is predominantly a between-asset attribute,</ns0:t>
      </ns0:r>
      <ns0:r>
        <ns0:t xml:space="preserve"> </ns0:t>
      </ns0:r>
      <ns0:r>
        <ns0:t xml:space="preserve">so within-episode change is not presented as its primary estimand.</ns0:t>
      </ns0:r>
    </ns0:p>
    <ns0:p>
      <ns0:pPr>
        <ns0:pStyle ns0:val="af"/>
      </ns0:pPr>
      <ns0:r>
        <ns0:t xml:space="preserve">Finally, event pathways are classified from observed administrative continuity.</ns0:t>
      </ns0:r>
      <ns0:r>
        <ns0:t xml:space="preserve"> </ns0:t>
      </ns0:r>
      <ns0:r>
        <ns0:t xml:space="preserve">A continuity-lineage entry remains in the same lineage and asset episode across</ns0:t>
      </ns0:r>
      <ns0:r>
        <ns0:t xml:space="preserve"> </ns0:t>
      </ns0:r>
      <ns0:r>
        <ns0:t xml:space="preserve">adjacent years without a reported reset. A rebuild/replacement-like entry has an</ns0:t>
      </ns0:r>
      <ns0:r>
        <ns0:t xml:space="preserve"> </ns0:t>
      </ns0:r>
      <ns0:r>
        <ns0:t xml:space="preserve">asset-episode, reported-start-year, or mature-to-new age reset. A</ns0:t>
      </ns0:r>
      <ns0:r>
        <ns0:t xml:space="preserve"> </ns0:t>
      </ns0:r>
      <ns0:r>
        <ns0:t xml:space="preserve">forward-dated/placeholder entry has a future start year or new-build placeholder</ns0:t>
      </ns0:r>
      <ns0:r>
        <ns0:t xml:space="preserve"> </ns0:t>
      </ns0:r>
      <ns0:r>
        <ns0:t xml:space="preserve">name. These labels are descriptive evidence rules. They do not verify the</ns0:t>
      </ns0:r>
      <ns0:r>
        <ns0:t xml:space="preserve"> </ns0:t>
      </ns0:r>
      <ns0:r>
        <ns0:t xml:space="preserve">physical project mechanism. First-complete-year outcomes are compared as</ns0:t>
      </ns0:r>
      <ns0:r>
        <ns0:t xml:space="preserve"> </ns0:t>
      </ns0:r>
      <ns0:r>
        <ns0:t xml:space="preserve">within-fiscal-year percentile ranks among engineering-valid generators, which</ns0:t>
      </ns0:r>
      <ns0:r>
        <ns0:t xml:space="preserve"> </ns0:t>
      </ns0:r>
      <ns0:r>
        <ns0:t xml:space="preserve">reduces confounding by fleet-wide time trends but does not remove selection into</ns0:t>
      </ns0:r>
      <ns0:r>
        <ns0:t xml:space="preserve"> </ns0:t>
      </ns0:r>
      <ns0:r>
        <ns0:t xml:space="preserve">each pathway.</ns0:t>
      </ns0:r>
    </ns0:p>
    <ns0:bookmarkEnd ns0:id="38"/>
    <ns0:bookmarkEnd ns0:id="39"/>
    <ns0:bookmarkEnd ns0:id="40"/>
    <ns0:bookmarkStart ns0:id="50" ns0:name="results"/>
    <ns0:p>
      <ns0:pPr>
        <ns0:pStyle ns0:val="1"/>
      </ns0:pPr>
      <ns0:r>
        <ns0:t xml:space="preserve">4. Results</ns0:t>
      </ns0:r>
    </ns0:p>
    <ns0:p>
      <ns0:pPr>
        <ns0:pStyle ns0:val="FirstParagraph"/>
      </ns0:pPr>
      <ns0:r>
        <ns0:t xml:space="preserve">The results follow the three analytical populations defined in Table 2. In this</ns0:t>
      </ns0:r>
      <ns0:r>
        <ns0:t xml:space="preserve"> </ns0:t>
      </ns0:r>
      <ns0:r>
        <ns0:t xml:space="preserve">section,</ns0:t>
      </ns0:r>
      <ns0:r>
        <ns0:t xml:space="preserve"> </ns0:t>
      </ns0:r>
      <ns0:r>
        <ns0:rPr>
          <ns0:i/>
          <ns0:iCs/>
        </ns0:rPr>
        <ns0:t xml:space="preserve">entry</ns0:t>
      </ns0:r>
      <ns0:r>
        <ns0:t xml:space="preserve"> </ns0:t>
      </ns0:r>
      <ns0:r>
        <ns0:t xml:space="preserve">always means first reported positive installed capacity within</ns0:t>
      </ns0:r>
      <ns0:r>
        <ns0:t xml:space="preserve"> </ns0:t>
      </ns0:r>
      <ns0:r>
        <ns0:t xml:space="preserve">an observed administrative lineage, and gross MWh/t remains a composite gross-</ns0:t>
      </ns0:r>
      <ns0:r>
        <ns0:t xml:space="preserve"> </ns0:t>
      </ns0:r>
      <ns0:r>
        <ns0:t xml:space="preserve">output ratio rather than an independent efficiency measure.</ns0:t>
      </ns0:r>
    </ns0:p>
    <ns0:bookmarkStart ns0:id="41" ns0:name="X3c16293487048e219b4ede36c57a31ffb06047c"/>
    <ns0:p>
      <ns0:pPr>
        <ns0:pStyle ns0:val="21"/>
      </ns0:pPr>
      <ns0:r>
        <ns0:t xml:space="preserve">4.1 RQ1: facility counts understate waste-volume coverage</ns0:t>
      </ns0:r>
    </ns0:p>
    <ns0:p>
      <ns0:pPr>
        <ns0:pStyle ns0:val="FirstParagraph"/>
      </ns0:pPr>
      <ns0:r>
        <ns0:rPr>
          <ns0:b/>
          <ns0:bCs/>
        </ns0:rPr>
        <ns0:t xml:space="preserve">Answer first.</ns0:t>
      </ns0:r>
      <ns0:r>
        <ns0:t xml:space="preserve"> </ns0:t>
      </ns0:r>
      <ns0:r>
        <ns0:t xml:space="preserve">Count-based participation understates the share of observed</ns0:t>
      </ns0:r>
      <ns0:r>
        <ns0:t xml:space="preserve"> </ns0:t>
      </ns0:r>
      <ns0:r>
        <ns0:t xml:space="preserve">waste activity covered by generating facilities, while the much smaller change</ns0:t>
      </ns0:r>
      <ns0:r>
        <ns0:t xml:space="preserve"> </ns0:t>
      </ns0:r>
      <ns0:r>
        <ns0:t xml:space="preserve">among endpoint-common lineages shows that the all-record trend should not be</ns0:t>
      </ns0:r>
      <ns0:r>
        <ns0:t xml:space="preserve"> </ns0:t>
      </ns0:r>
      <ns0:r>
        <ns0:t xml:space="preserve">read as widespread conversion among continuing facilities.</ns0:t>
      </ns0:r>
    </ns0:p>
    <ns0:p>
      <ns0:pPr>
        <ns0:pStyle ns0:val="af"/>
      </ns0:pPr>
      <ns0:r>
        <ns0:t xml:space="preserve">The official 415/991 ratio (41.9%) describes the Ministry’s published count of</ns0:t>
      </ns0:r>
      <ns0:r>
        <ns0:t xml:space="preserve"> </ns0:t>
      </ns0:r>
      <ns0:r>
        <ns0:t xml:space="preserve">electricity-generating facilities. The results below use the separate analytical</ns0:t>
      </ns0:r>
      <ns0:r>
        <ns0:t xml:space="preserve"> </ns0:t>
      </ns0:r>
      <ns0:r>
        <ns0:t xml:space="preserve">definition of positive installed capacity among retained facility records.</ns0:t>
      </ns0:r>
    </ns0:p>
    <ns0:p>
      <ns0:pPr>
        <ns0:pStyle ns0:val="af"/>
      </ns0:pPr>
      <ns0:r>
        <ns0:t xml:space="preserve">Annual repeated-cross-section installed-capacity prevalence rises from 21.6%</ns0:t>
      </ns0:r>
      <ns0:r>
        <ns0:t xml:space="preserve"> </ns0:t>
      </ns0:r>
      <ns0:r>
        <ns0:t xml:space="preserve">of facility records in FY2005 to 41.1% in FY2024. Positive-output facilities handle a much</ns0:t>
      </ns0:r>
      <ns0:r>
        <ns0:t xml:space="preserve"> </ns0:t>
      </ns0:r>
      <ns0:r>
        <ns0:t xml:space="preserve">larger share of waste: throughput coverage rises from 60.5% to 80.1% over the</ns0:t>
      </ns0:r>
      <ns0:r>
        <ns0:t xml:space="preserve"> </ns0:t>
      </ns0:r>
      <ns0:r>
        <ns0:t xml:space="preserve">same period. The design-capacity share at installed-capacity facilities moves</ns0:t>
      </ns0:r>
      <ns0:r>
        <ns0:t xml:space="preserve"> </ns0:t>
      </ns0:r>
      <ns0:r>
        <ns0:t xml:space="preserve">from 56.0% to 70.5%. Figure 1 therefore shows long-run increases with</ns0:t>
      </ns0:r>
      <ns0:r>
        <ns0:t xml:space="preserve"> </ns0:t>
      </ns0:r>
      <ns0:r>
        <ns0:t xml:space="preserve">year-to-year variation under all three denominators, alongside a persistent</ns0:t>
      </ns0:r>
      <ns0:r>
        <ns0:t xml:space="preserve"> </ns0:t>
      </ns0:r>
      <ns0:r>
        <ns0:t xml:space="preserve">count-volume gap.</ns0:t>
      </ns0:r>
    </ns0:p>
    <ns0:p>
      <ns0:pPr>
        <ns0:pStyle ns0:val="af"/>
      </ns0:pPr>
      <ns0:r>
        <ns0:t xml:space="preserve">The lineage diagnostic changes the interpretation of that 19.50-percentage-</ns0:t>
      </ns0:r>
      <ns0:r>
        <ns0:t xml:space="preserve"> </ns0:t>
      </ns0:r>
      <ns0:r>
        <ns0:t xml:space="preserve">point rise. Among the 732 administrative lineages observed in both FY2005 and</ns0:t>
      </ns0:r>
      <ns0:r>
        <ns0:t xml:space="preserve"> </ns0:t>
      </ns0:r>
      <ns0:r>
        <ns0:t xml:space="preserve">FY2024, installed-capacity prevalence increases only from 29.92% to 32.10%, or</ns0:t>
      </ns0:r>
      <ns0:r>
        <ns0:t xml:space="preserve"> </ns0:t>
      </ns0:r>
      <ns0:r>
        <ns0:t xml:space="preserve">2.19 points. Among the 678 endpoint-common lineages retaining the same reported</ns0:t>
      </ns0:r>
      <ns0:r>
        <ns0:t xml:space="preserve"> </ns0:t>
      </ns0:r>
      <ns0:r>
        <ns0:t xml:space="preserve">asset episode, it increases from 30.53% to 31.42%, or 0.88 points. The 713</ns0:t>
      </ns0:r>
      <ns0:r>
        <ns0:t xml:space="preserve"> </ns0:t>
      </ns0:r>
      <ns0:r>
        <ns0:t xml:space="preserve">lineages observed in all 20 fiscal years show a similarly modest change, from</ns0:t>
      </ns0:r>
      <ns0:r>
        <ns0:t xml:space="preserve"> </ns0:t>
      </ns0:r>
      <ns0:r>
        <ns0:t xml:space="preserve">29.73% to 32.26%.</ns0:t>
      </ns0:r>
    </ns0:p>
    <ns0:p>
      <ns0:pPr>
        <ns0:pStyle ns0:val="af"/>
      </ns0:pPr>
      <ns0:r>
        <ns0:rPr>
          <ns0:b/>
          <ns0:bCs/>
        </ns0:rPr>
        <ns0:t xml:space="preserve">Endpoint composition diagnostic</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jc ns0:val="left"/>
            </ns0:pPr>
            <ns0:r>
              <ns0:t xml:space="preserve">Administrative group</ns0:t>
            </ns0:r>
          </ns0:p>
        </ns0:tc>
        <ns0:tc>
          <ns0:tcPr/>
          <ns0:p>
            <ns0:pPr>
              <ns0:pStyle ns0:val="Compact"/>
              <ns0:jc ns0:val="right"/>
            </ns0:pPr>
            <ns0:r>
              <ns0:t xml:space="preserve">FY</ns0:t>
            </ns0:r>
          </ns0:p>
        </ns0:tc>
        <ns0:tc>
          <ns0:tcPr/>
          <ns0:p>
            <ns0:pPr>
              <ns0:pStyle ns0:val="Compact"/>
              <ns0:jc ns0:val="right"/>
            </ns0:pPr>
            <ns0:r>
              <ns0:t xml:space="preserve">Lineages</ns0:t>
            </ns0:r>
          </ns0:p>
        </ns0:tc>
        <ns0:tc>
          <ns0:tcPr/>
          <ns0:p>
            <ns0:pPr>
              <ns0:pStyle ns0:val="Compact"/>
              <ns0:jc ns0:val="right"/>
            </ns0:pPr>
            <ns0:r>
              <ns0:t xml:space="preserve">Installed-capacity lineages</ns0:t>
            </ns0:r>
          </ns0:p>
        </ns0:tc>
        <ns0:tc>
          <ns0:tcPr/>
          <ns0:p>
            <ns0:pPr>
              <ns0:pStyle ns0:val="Compact"/>
              <ns0:jc ns0:val="right"/>
            </ns0:pPr>
            <ns0:r>
              <ns0:t xml:space="preserve">Share</ns0:t>
            </ns0:r>
          </ns0:p>
        </ns0:tc>
      </ns0:tr>
      <ns0:tr>
        <ns0:tc>
          <ns0:tcPr/>
          <ns0:p>
            <ns0:pPr>
              <ns0:pStyle ns0:val="Compact"/>
              <ns0:jc ns0:val="left"/>
            </ns0:pPr>
            <ns0:r>
              <ns0:t xml:space="preserve">All endpoint records</ns0:t>
            </ns0:r>
          </ns0:p>
        </ns0:tc>
        <ns0:tc>
          <ns0:tcPr/>
          <ns0:p>
            <ns0:pPr>
              <ns0:pStyle ns0:val="Compact"/>
              <ns0:jc ns0:val="right"/>
            </ns0:pPr>
            <ns0:r>
              <ns0:t xml:space="preserve">2005</ns0:t>
            </ns0:r>
          </ns0:p>
        </ns0:tc>
        <ns0:tc>
          <ns0:tcPr/>
          <ns0:p>
            <ns0:pPr>
              <ns0:pStyle ns0:val="Compact"/>
              <ns0:jc ns0:val="right"/>
            </ns0:pPr>
            <ns0:r>
              <ns0:t xml:space="preserve">1,318</ns0:t>
            </ns0:r>
          </ns0:p>
        </ns0:tc>
        <ns0:tc>
          <ns0:tcPr/>
          <ns0:p>
            <ns0:pPr>
              <ns0:pStyle ns0:val="Compact"/>
              <ns0:jc ns0:val="right"/>
            </ns0:pPr>
            <ns0:r>
              <ns0:t xml:space="preserve">285</ns0:t>
            </ns0:r>
          </ns0:p>
        </ns0:tc>
        <ns0:tc>
          <ns0:tcPr/>
          <ns0:p>
            <ns0:pPr>
              <ns0:pStyle ns0:val="Compact"/>
              <ns0:jc ns0:val="right"/>
            </ns0:pPr>
            <ns0:r>
              <ns0:t xml:space="preserve">21.62%</ns0:t>
            </ns0:r>
          </ns0:p>
        </ns0:tc>
      </ns0:tr>
      <ns0:tr>
        <ns0:tc>
          <ns0:tcPr/>
          <ns0:p>
            <ns0:pPr>
              <ns0:pStyle ns0:val="Compact"/>
              <ns0:jc ns0:val="left"/>
            </ns0:pPr>
            <ns0:r>
              <ns0:t xml:space="preserve">All endpoint records</ns0:t>
            </ns0:r>
          </ns0:p>
        </ns0:tc>
        <ns0:tc>
          <ns0:tcPr/>
          <ns0:p>
            <ns0:pPr>
              <ns0:pStyle ns0:val="Compact"/>
              <ns0:jc ns0:val="right"/>
            </ns0:pPr>
            <ns0:r>
              <ns0:t xml:space="preserve">2024</ns0:t>
            </ns0:r>
          </ns0:p>
        </ns0:tc>
        <ns0:tc>
          <ns0:tcPr/>
          <ns0:p>
            <ns0:pPr>
              <ns0:pStyle ns0:val="Compact"/>
              <ns0:jc ns0:val="right"/>
            </ns0:pPr>
            <ns0:r>
              <ns0:t xml:space="preserve">1,014</ns0:t>
            </ns0:r>
          </ns0:p>
        </ns0:tc>
        <ns0:tc>
          <ns0:tcPr/>
          <ns0:p>
            <ns0:pPr>
              <ns0:pStyle ns0:val="Compact"/>
              <ns0:jc ns0:val="right"/>
            </ns0:pPr>
            <ns0:r>
              <ns0:t xml:space="preserve">417</ns0:t>
            </ns0:r>
          </ns0:p>
        </ns0:tc>
        <ns0:tc>
          <ns0:tcPr/>
          <ns0:p>
            <ns0:pPr>
              <ns0:pStyle ns0:val="Compact"/>
              <ns0:jc ns0:val="right"/>
            </ns0:pPr>
            <ns0:r>
              <ns0:t xml:space="preserve">41.12%</ns0:t>
            </ns0:r>
          </ns0:p>
        </ns0:tc>
      </ns0:tr>
      <ns0:tr>
        <ns0:tc>
          <ns0:tcPr/>
          <ns0:p>
            <ns0:pPr>
              <ns0:pStyle ns0:val="Compact"/>
              <ns0:jc ns0:val="left"/>
            </ns0:pPr>
            <ns0:r>
              <ns0:t xml:space="preserve">Endpoint-common lineages</ns0:t>
            </ns0:r>
          </ns0:p>
        </ns0:tc>
        <ns0:tc>
          <ns0:tcPr/>
          <ns0:p>
            <ns0:pPr>
              <ns0:pStyle ns0:val="Compact"/>
              <ns0:jc ns0:val="right"/>
            </ns0:pPr>
            <ns0:r>
              <ns0:t xml:space="preserve">2005</ns0:t>
            </ns0:r>
          </ns0:p>
        </ns0:tc>
        <ns0:tc>
          <ns0:tcPr/>
          <ns0:p>
            <ns0:pPr>
              <ns0:pStyle ns0:val="Compact"/>
              <ns0:jc ns0:val="right"/>
            </ns0:pPr>
            <ns0:r>
              <ns0:t xml:space="preserve">732</ns0:t>
            </ns0:r>
          </ns0:p>
        </ns0:tc>
        <ns0:tc>
          <ns0:tcPr/>
          <ns0:p>
            <ns0:pPr>
              <ns0:pStyle ns0:val="Compact"/>
              <ns0:jc ns0:val="right"/>
            </ns0:pPr>
            <ns0:r>
              <ns0:t xml:space="preserve">219</ns0:t>
            </ns0:r>
          </ns0:p>
        </ns0:tc>
        <ns0:tc>
          <ns0:tcPr/>
          <ns0:p>
            <ns0:pPr>
              <ns0:pStyle ns0:val="Compact"/>
              <ns0:jc ns0:val="right"/>
            </ns0:pPr>
            <ns0:r>
              <ns0:t xml:space="preserve">29.92%</ns0:t>
            </ns0:r>
          </ns0:p>
        </ns0:tc>
      </ns0:tr>
      <ns0:tr>
        <ns0:tc>
          <ns0:tcPr/>
          <ns0:p>
            <ns0:pPr>
              <ns0:pStyle ns0:val="Compact"/>
              <ns0:jc ns0:val="left"/>
            </ns0:pPr>
            <ns0:r>
              <ns0:t xml:space="preserve">Endpoint-common lineages</ns0:t>
            </ns0:r>
          </ns0:p>
        </ns0:tc>
        <ns0:tc>
          <ns0:tcPr/>
          <ns0:p>
            <ns0:pPr>
              <ns0:pStyle ns0:val="Compact"/>
              <ns0:jc ns0:val="right"/>
            </ns0:pPr>
            <ns0:r>
              <ns0:t xml:space="preserve">2024</ns0:t>
            </ns0:r>
          </ns0:p>
        </ns0:tc>
        <ns0:tc>
          <ns0:tcPr/>
          <ns0:p>
            <ns0:pPr>
              <ns0:pStyle ns0:val="Compact"/>
              <ns0:jc ns0:val="right"/>
            </ns0:pPr>
            <ns0:r>
              <ns0:t xml:space="preserve">732</ns0:t>
            </ns0:r>
          </ns0:p>
        </ns0:tc>
        <ns0:tc>
          <ns0:tcPr/>
          <ns0:p>
            <ns0:pPr>
              <ns0:pStyle ns0:val="Compact"/>
              <ns0:jc ns0:val="right"/>
            </ns0:pPr>
            <ns0:r>
              <ns0:t xml:space="preserve">235</ns0:t>
            </ns0:r>
          </ns0:p>
        </ns0:tc>
        <ns0:tc>
          <ns0:tcPr/>
          <ns0:p>
            <ns0:pPr>
              <ns0:pStyle ns0:val="Compact"/>
              <ns0:jc ns0:val="right"/>
            </ns0:pPr>
            <ns0:r>
              <ns0:t xml:space="preserve">32.10%</ns0:t>
            </ns0:r>
          </ns0:p>
        </ns0:tc>
      </ns0:tr>
      <ns0:tr>
        <ns0:tc>
          <ns0:tcPr/>
          <ns0:p>
            <ns0:pPr>
              <ns0:pStyle ns0:val="Compact"/>
              <ns0:jc ns0:val="left"/>
            </ns0:pPr>
            <ns0:r>
              <ns0:t xml:space="preserve">Endpoint-common same-episode lineages</ns0:t>
            </ns0:r>
          </ns0:p>
        </ns0:tc>
        <ns0:tc>
          <ns0:tcPr/>
          <ns0:p>
            <ns0:pPr>
              <ns0:pStyle ns0:val="Compact"/>
              <ns0:jc ns0:val="right"/>
            </ns0:pPr>
            <ns0:r>
              <ns0:t xml:space="preserve">2005</ns0:t>
            </ns0:r>
          </ns0:p>
        </ns0:tc>
        <ns0:tc>
          <ns0:tcPr/>
          <ns0:p>
            <ns0:pPr>
              <ns0:pStyle ns0:val="Compact"/>
              <ns0:jc ns0:val="right"/>
            </ns0:pPr>
            <ns0:r>
              <ns0:t xml:space="preserve">678</ns0:t>
            </ns0:r>
          </ns0:p>
        </ns0:tc>
        <ns0:tc>
          <ns0:tcPr/>
          <ns0:p>
            <ns0:pPr>
              <ns0:pStyle ns0:val="Compact"/>
              <ns0:jc ns0:val="right"/>
            </ns0:pPr>
            <ns0:r>
              <ns0:t xml:space="preserve">207</ns0:t>
            </ns0:r>
          </ns0:p>
        </ns0:tc>
        <ns0:tc>
          <ns0:tcPr/>
          <ns0:p>
            <ns0:pPr>
              <ns0:pStyle ns0:val="Compact"/>
              <ns0:jc ns0:val="right"/>
            </ns0:pPr>
            <ns0:r>
              <ns0:t xml:space="preserve">30.53%</ns0:t>
            </ns0:r>
          </ns0:p>
        </ns0:tc>
      </ns0:tr>
      <ns0:tr>
        <ns0:tc>
          <ns0:tcPr/>
          <ns0:p>
            <ns0:pPr>
              <ns0:pStyle ns0:val="Compact"/>
              <ns0:jc ns0:val="left"/>
            </ns0:pPr>
            <ns0:r>
              <ns0:t xml:space="preserve">Endpoint-common same-episode lineages</ns0:t>
            </ns0:r>
          </ns0:p>
        </ns0:tc>
        <ns0:tc>
          <ns0:tcPr/>
          <ns0:p>
            <ns0:pPr>
              <ns0:pStyle ns0:val="Compact"/>
              <ns0:jc ns0:val="right"/>
            </ns0:pPr>
            <ns0:r>
              <ns0:t xml:space="preserve">2024</ns0:t>
            </ns0:r>
          </ns0:p>
        </ns0:tc>
        <ns0:tc>
          <ns0:tcPr/>
          <ns0:p>
            <ns0:pPr>
              <ns0:pStyle ns0:val="Compact"/>
              <ns0:jc ns0:val="right"/>
            </ns0:pPr>
            <ns0:r>
              <ns0:t xml:space="preserve">678</ns0:t>
            </ns0:r>
          </ns0:p>
        </ns0:tc>
        <ns0:tc>
          <ns0:tcPr/>
          <ns0:p>
            <ns0:pPr>
              <ns0:pStyle ns0:val="Compact"/>
              <ns0:jc ns0:val="right"/>
            </ns0:pPr>
            <ns0:r>
              <ns0:t xml:space="preserve">213</ns0:t>
            </ns0:r>
          </ns0:p>
        </ns0:tc>
        <ns0:tc>
          <ns0:tcPr/>
          <ns0:p>
            <ns0:pPr>
              <ns0:pStyle ns0:val="Compact"/>
              <ns0:jc ns0:val="right"/>
            </ns0:pPr>
            <ns0:r>
              <ns0:t xml:space="preserve">31.42%</ns0:t>
            </ns0:r>
          </ns0:p>
        </ns0:tc>
      </ns0:tr>
      <ns0:tr>
        <ns0:tc>
          <ns0:tcPr/>
          <ns0:p>
            <ns0:pPr>
              <ns0:pStyle ns0:val="Compact"/>
              <ns0:jc ns0:val="left"/>
            </ns0:pPr>
            <ns0:r>
              <ns0:t xml:space="preserve">FY2005-only lineages</ns0:t>
            </ns0:r>
          </ns0:p>
        </ns0:tc>
        <ns0:tc>
          <ns0:tcPr/>
          <ns0:p>
            <ns0:pPr>
              <ns0:pStyle ns0:val="Compact"/>
              <ns0:jc ns0:val="right"/>
            </ns0:pPr>
            <ns0:r>
              <ns0:t xml:space="preserve">2005</ns0:t>
            </ns0:r>
          </ns0:p>
        </ns0:tc>
        <ns0:tc>
          <ns0:tcPr/>
          <ns0:p>
            <ns0:pPr>
              <ns0:pStyle ns0:val="Compact"/>
              <ns0:jc ns0:val="right"/>
            </ns0:pPr>
            <ns0:r>
              <ns0:t xml:space="preserve">586</ns0:t>
            </ns0:r>
          </ns0:p>
        </ns0:tc>
        <ns0:tc>
          <ns0:tcPr/>
          <ns0:p>
            <ns0:pPr>
              <ns0:pStyle ns0:val="Compact"/>
              <ns0:jc ns0:val="right"/>
            </ns0:pPr>
            <ns0:r>
              <ns0:t xml:space="preserve">66</ns0:t>
            </ns0:r>
          </ns0:p>
        </ns0:tc>
        <ns0:tc>
          <ns0:tcPr/>
          <ns0:p>
            <ns0:pPr>
              <ns0:pStyle ns0:val="Compact"/>
              <ns0:jc ns0:val="right"/>
            </ns0:pPr>
            <ns0:r>
              <ns0:t xml:space="preserve">11.26%</ns0:t>
            </ns0:r>
          </ns0:p>
        </ns0:tc>
      </ns0:tr>
      <ns0:tr>
        <ns0:tc>
          <ns0:tcPr/>
          <ns0:p>
            <ns0:pPr>
              <ns0:pStyle ns0:val="Compact"/>
              <ns0:jc ns0:val="left"/>
            </ns0:pPr>
            <ns0:r>
              <ns0:t xml:space="preserve">FY2024-only lineages</ns0:t>
            </ns0:r>
          </ns0:p>
        </ns0:tc>
        <ns0:tc>
          <ns0:tcPr/>
          <ns0:p>
            <ns0:pPr>
              <ns0:pStyle ns0:val="Compact"/>
              <ns0:jc ns0:val="right"/>
            </ns0:pPr>
            <ns0:r>
              <ns0:t xml:space="preserve">2024</ns0:t>
            </ns0:r>
          </ns0:p>
        </ns0:tc>
        <ns0:tc>
          <ns0:tcPr/>
          <ns0:p>
            <ns0:pPr>
              <ns0:pStyle ns0:val="Compact"/>
              <ns0:jc ns0:val="right"/>
            </ns0:pPr>
            <ns0:r>
              <ns0:t xml:space="preserve">282</ns0:t>
            </ns0:r>
          </ns0:p>
        </ns0:tc>
        <ns0:tc>
          <ns0:tcPr/>
          <ns0:p>
            <ns0:pPr>
              <ns0:pStyle ns0:val="Compact"/>
              <ns0:jc ns0:val="right"/>
            </ns0:pPr>
            <ns0:r>
              <ns0:t xml:space="preserve">182</ns0:t>
            </ns0:r>
          </ns0:p>
        </ns0:tc>
        <ns0:tc>
          <ns0:tcPr/>
          <ns0:p>
            <ns0:pPr>
              <ns0:pStyle ns0:val="Compact"/>
              <ns0:jc ns0:val="right"/>
            </ns0:pPr>
            <ns0:r>
              <ns0:t xml:space="preserve">64.54%</ns0:t>
            </ns0:r>
          </ns0:p>
        </ns0:tc>
      </ns0:tr>
    </ns0:tbl>
    <ns0:p>
      <ns0:pPr>
        <ns0:pStyle ns0:val="af"/>
      </ns0:pPr>
      <ns0:r>
        <ns0:t xml:space="preserve">The endpoint-only groups are sharply different: 64.54% of FY2024-only lineages</ns0:t>
      </ns0:r>
      <ns0:r>
        <ns0:t xml:space="preserve"> </ns0:t>
      </ns0:r>
      <ns0:r>
        <ns0:t xml:space="preserve">report installed capacity, compared with 11.26% of FY2005-only lineages. Together</ns0:t>
      </ns0:r>
      <ns0:r>
        <ns0:t xml:space="preserve"> </ns0:t>
      </ns0:r>
      <ns0:r>
        <ns0:t xml:space="preserve">with the much smaller endpoint-common increase, this pattern is consistent with</ns0:t>
      </ns0:r>
      <ns0:r>
        <ns0:t xml:space="preserve"> </ns0:t>
      </ns0:r>
      <ns0:r>
        <ns0:t xml:space="preserve">a substantial contribution from changing observed fleet composition rather than</ns0:t>
      </ns0:r>
      <ns0:r>
        <ns0:t xml:space="preserve"> </ns0:t>
      </ns0:r>
      <ns0:r>
        <ns0:t xml:space="preserve">widespread conversion among continuing lineages. It is not an additive</ns0:t>
      </ns0:r>
      <ns0:r>
        <ns0:t xml:space="preserve"> </ns0:t>
      </ns0:r>
      <ns0:r>
        <ns0:t xml:space="preserve">decomposition and does not identify physical construction or closure because</ns0:t>
      </ns0:r>
      <ns0:r>
        <ns0:t xml:space="preserve"> </ns0:t>
      </ns0:r>
      <ns0:r>
        <ns0:t xml:space="preserve">administrative appearance and disappearance can also reflect reporting and</ns0:t>
      </ns0:r>
      <ns0:r>
        <ns0:t xml:space="preserve"> </ns0:t>
      </ns0:r>
      <ns0:r>
        <ns0:t xml:space="preserve">identity history.</ns0:t>
      </ns0:r>
    </ns0:p>
    <ns0:p>
      <ns0:pPr>
        <ns0:pStyle ns0:val="af"/>
      </ns0:pPr>
      <ns0:r>
        <ns0:t xml:space="preserve">The FY2024 cross-section makes the distinction concrete. The administrative</ns0:t>
      </ns0:r>
      <ns0:r>
        <ns0:t xml:space="preserve"> </ns0:t>
      </ns0:r>
      <ns0:r>
        <ns0:t xml:space="preserve">panel contains 1,014 facility records, of which 417 report positive installed</ns0:t>
      </ns0:r>
      <ns0:r>
        <ns0:t xml:space="preserve"> </ns0:t>
      </ns0:r>
      <ns0:r>
        <ns0:t xml:space="preserve">electrical capacity, giving the 41.1% all-record participation rate. Among the</ns0:t>
      </ns0:r>
      <ns0:r>
        <ns0:t xml:space="preserve"> </ns0:t>
      </ns0:r>
      <ns0:r>
        <ns0:t xml:space="preserve">879 records with positive throughput, 408 report installed capacity, or 46.4%.</ns0:t>
      </ns0:r>
      <ns0:r>
        <ns0:t xml:space="preserve"> </ns0:t>
      </ns0:r>
      <ns0:r>
        <ns0:t xml:space="preserve">Holding the installed-capacity state fixed therefore isolates a 5.3-percentage-</ns0:t>
      </ns0:r>
      <ns0:r>
        <ns0:t xml:space="preserve"> </ns0:t>
      </ns0:r>
      <ns0:r>
        <ns0:t xml:space="preserve">point denominator difference. Positive output appears in 410 records: 40.4% of</ns0:t>
      </ns0:r>
      <ns0:r>
        <ns0:t xml:space="preserve"> </ns0:t>
      </ns0:r>
      <ns0:r>
        <ns0:t xml:space="preserve">all records and 46.6% of positive-throughput records. The two output percentages</ns0:t>
      </ns0:r>
      <ns0:r>
        <ns0:t xml:space="preserve"> </ns0:t>
      </ns0:r>
      <ns0:r>
        <ns0:t xml:space="preserve">use the same numerator state and isolate a 6.2-point denominator difference.</ns0:t>
      </ns0:r>
    </ns0:p>
    <ns0:p>
      <ns0:pPr>
        <ns0:pStyle ns0:val="af"/>
      </ns0:pPr>
      <ns0:r>
        <ns0:t xml:space="preserve">The 410 positive-output facilities process 24.70 million of the 30.84 million</ns0:t>
      </ns0:r>
      <ns0:r>
        <ns0:t xml:space="preserve"> </ns0:t>
      </ns0:r>
      <ns0:r>
        <ns0:t xml:space="preserve">recorded tonnes, or 80.1%. In contrast, 469 operating non-generators process</ns0:t>
      </ns0:r>
      <ns0:r>
        <ns0:t xml:space="preserve"> </ns0:t>
      </ns0:r>
      <ns0:r>
        <ns0:t xml:space="preserve">6.14 million tonnes, or 19.9%. Another 126 records report neither positive</ns0:t>
      </ns0:r>
      <ns0:r>
        <ns0:t xml:space="preserve"> </ns0:t>
      </ns0:r>
      <ns0:r>
        <ns0:t xml:space="preserve">throughput nor generation, and nine installed-capacity records report no</ns0:t>
      </ns0:r>
      <ns0:r>
        <ns0:t xml:space="preserve"> </ns0:t>
      </ns0:r>
      <ns0:r>
        <ns0:t xml:space="preserve">positive output. Two FY2024 records report positive output without positive</ns0:t>
      </ns0:r>
      <ns0:r>
        <ns0:t xml:space="preserve"> </ns0:t>
      </ns0:r>
      <ns0:r>
        <ns0:t xml:space="preserve">installed capacity. Installed-capacity and positive-output states are therefore</ns0:t>
      </ns0:r>
      <ns0:r>
        <ns0:t xml:space="preserve"> </ns0:t>
      </ns0:r>
      <ns0:r>
        <ns0:t xml:space="preserve">reported separately rather than forced into one binary partition.</ns0:t>
      </ns0:r>
    </ns0:p>
    <ns0:p>
      <ns0:pPr>
        <ns0:pStyle ns0:val="af"/>
      </ns0:pPr>
      <ns0:r>
        <ns0:t xml:space="preserve">After the predefined output and capacity-factor checks, valid generator rows</ns0:t>
      </ns0:r>
      <ns0:r>
        <ns0:t xml:space="preserve"> </ns0:t>
      </ns0:r>
      <ns0:r>
        <ns0:t xml:space="preserve">cover 79.7% of FY2024 throughput. Their throughput-weighted conditional gross</ns0:t>
      </ns0:r>
      <ns0:r>
        <ns0:t xml:space="preserve"> </ns0:t>
      </ns0:r>
      <ns0:r>
        <ns0:t xml:space="preserve">intensity is 0.425 MWh/t. Multiplying 0.797 by 0.425 gives 0.338 MWh per total</ns0:t>
      </ns0:r>
      <ns0:r>
        <ns0:t xml:space="preserve"> </ns0:t>
      </ns0:r>
      <ns0:r>
        <ns0:t xml:space="preserve">fleet tonne, exactly matching valid gross generation divided by all recorded</ns0:t>
      </ns0:r>
      <ns0:r>
        <ns0:t xml:space="preserve"> </ns0:t>
      </ns0:r>
      <ns0:r>
        <ns0:t xml:space="preserve">throughput. This arithmetic is more informative than the facility count alone:</ns0:t>
      </ns0:r>
      <ns0:r>
        <ns0:t xml:space="preserve"> </ns0:t>
      </ns0:r>
      <ns0:r>
        <ns0:t xml:space="preserve">most recorded waste is already processed at facilities reporting positive</ns0:t>
      </ns0:r>
      <ns0:r>
        <ns0:t xml:space="preserve"> </ns0:t>
      </ns0:r>
      <ns0:r>
        <ns0:t xml:space="preserve">generation, even though installed equipment appears in fewer than half of</ns0:t>
      </ns0:r>
      <ns0:r>
        <ns0:t xml:space="preserve"> </ns0:t>
      </ns0:r>
      <ns0:r>
        <ns0:t xml:space="preserve">facility records.</ns0:t>
      </ns0:r>
    </ns0:p>
    <ns0:p>
      <ns0:pPr>
        <ns0:pStyle ns0:val="af"/>
      </ns0:pPr>
      <ns0:r>
        <ns0:t xml:space="preserve">The result does not imply that the remaining 19.9% of operating throughput can</ns0:t>
      </ns0:r>
      <ns0:r>
        <ns0:t xml:space="preserve"> </ns0:t>
      </ns0:r>
      <ns0:r>
        <ns0:t xml:space="preserve">or should all be redirected or equipped. It also does not measure electricity</ns0:t>
      </ns0:r>
      <ns0:r>
        <ns0:t xml:space="preserve"> </ns0:t>
      </ns0:r>
      <ns0:r>
        <ns0:t xml:space="preserve">used internally, net export, heat recovery, marginal emissions, or project</ns0:t>
      </ns0:r>
      <ns0:r>
        <ns0:t xml:space="preserve"> </ns0:t>
      </ns0:r>
      <ns0:r>
        <ns0:t xml:space="preserve">cost. Its contribution is denominator discipline: installed-capacity</ns0:t>
      </ns0:r>
      <ns0:r>
        <ns0:t xml:space="preserve"> </ns0:t>
      </ns0:r>
      <ns0:r>
        <ns0:t xml:space="preserve">participation is 41.1% among all records and 46.4% among active records, while</ns0:t>
      </ns0:r>
      <ns0:r>
        <ns0:t xml:space="preserve"> </ns0:t>
      </ns0:r>
      <ns0:r>
        <ns0:t xml:space="preserve">positive-output participation is 40.4% and 46.6%, respectively. Positive-output</ns0:t>
      </ns0:r>
      <ns0:r>
        <ns0:t xml:space="preserve"> </ns0:t>
      </ns0:r>
      <ns0:r>
        <ns0:t xml:space="preserve">facilities cover 80.1% of tonnes, and installed-capacity facilities cover 70.5%</ns0:t>
      </ns0:r>
      <ns0:r>
        <ns0:t xml:space="preserve"> </ns0:t>
      </ns0:r>
      <ns0:r>
        <ns0:t xml:space="preserve">of design capacity. Matching the facility denominator to observed activity</ns0:t>
      </ns0:r>
      <ns0:r>
        <ns0:t xml:space="preserve"> </ns0:t>
      </ns0:r>
      <ns0:r>
        <ns0:t xml:space="preserve">narrows the apparent count-volume contrast but does not remove it, and no one</ns0:t>
      </ns0:r>
      <ns0:r>
        <ns0:t xml:space="preserve"> </ns0:t>
      </ns0:r>
      <ns0:r>
        <ns0:t xml:space="preserve">percentage is a sufficient measure of the remaining opportunity.</ns0:t>
      </ns0:r>
    </ns0:p>
    <ns0:bookmarkEnd ns0:id="41"/>
    <ns0:bookmarkStart ns0:id="45" ns0:name="X130b17aa3c16b9bd8b6d0f174693b045dedc501"/>
    <ns0:p>
      <ns0:pPr>
        <ns0:pStyle ns0:val="21"/>
      </ns0:pPr>
      <ns0:r>
        <ns0:t xml:space="preserve">4.2 RQ2: entry is rare and associated with processing scale</ns0:t>
      </ns0:r>
    </ns0:p>
    <ns0:p>
      <ns0:pPr>
        <ns0:pStyle ns0:val="FirstParagraph"/>
      </ns0:pPr>
      <ns0:r>
        <ns0:rPr>
          <ns0:b/>
          <ns0:bCs/>
        </ns0:rPr>
        <ns0:t xml:space="preserve">Answer first.</ns0:t>
      </ns0:r>
      <ns0:r>
        <ns0:t xml:space="preserve"> </ns0:t>
      </ns0:r>
      <ns0:r>
        <ns0:t xml:space="preserve">First reported entry remains uncommon across the observed</ns0:t>
      </ns0:r>
      <ns0:r>
        <ns0:t xml:space="preserve"> </ns0:t>
      </ns0:r>
      <ns0:r>
        <ns0:t xml:space="preserve">risk set, but its positive association with prior-year processing scale is</ns0:t>
      </ns0:r>
      <ns0:r>
        <ns0:t xml:space="preserve"> </ns0:t>
      </ns0:r>
      <ns0:r>
        <ns0:t xml:space="preserve">stable across the reported sensitivity analyses. The age profile is less</ns0:t>
      </ns0:r>
      <ns0:r>
        <ns0:t xml:space="preserve"> </ns0:t>
      </ns0:r>
      <ns0:r>
        <ns0:t xml:space="preserve">stable across continuity definitions and does not support an age-only rule.</ns0:t>
      </ns0:r>
    </ns0:p>
    <ns0:p>
      <ns0:pPr>
        <ns0:pStyle ns0:val="af"/>
      </ns0:pPr>
      <ns0:r>
        <ns0:t xml:space="preserve">The descriptive risk set contains 55 first reported installed-capacity entries.</ns0:t>
      </ns0:r>
      <ns0:r>
        <ns0:t xml:space="preserve"> </ns0:t>
      </ns0:r>
      <ns0:r>
        <ns0:t xml:space="preserve">The pathway audit classifies 35 as continuity-lineage entries, 11 as</ns0:t>
      </ns0:r>
      <ns0:r>
        <ns0:t xml:space="preserve"> </ns0:t>
      </ns0:r>
      <ns0:r>
        <ns0:t xml:space="preserve">rebuild/replacement-like, and nine as forward-dated or placeholder entries. The</ns0:t>
      </ns0:r>
      <ns0:r>
        <ns0:t xml:space="preserve"> </ns0:t>
      </ns0:r>
      <ns0:r>
        <ns0:t xml:space="preserve">35 exact-year modeled events have a different composition: 24 are</ns0:t>
      </ns0:r>
      <ns0:r>
        <ns0:t xml:space="preserve"> </ns0:t>
      </ns0:r>
      <ns0:r>
        <ns0:t xml:space="preserve">continuity-lineage entries and 11 are rebuild/replacement-like; none is</ns0:t>
      </ns0:r>
      <ns0:r>
        <ns0:t xml:space="preserve"> </ns0:t>
      </ns0:r>
      <ns0:r>
        <ns0:t xml:space="preserve">forward-dated. The four calendar eras contain 7, 4, 14, and 10 events,</ns0:t>
      </ns0:r>
      <ns0:r>
        <ns0:t xml:space="preserve"> </ns0:t>
      </ns0:r>
      <ns0:r>
        <ns0:t xml:space="preserve">respectively. In the bridge to reported output, 47 of the 55 descriptive events</ns0:t>
      </ns0:r>
      <ns0:r>
        <ns0:t xml:space="preserve"> </ns0:t>
      </ns0:r>
      <ns0:r>
        <ns0:t xml:space="preserve">show positive gross generation in the event year and 51 do so by the following</ns0:t>
      </ns0:r>
      <ns0:r>
        <ns0:t xml:space="preserve"> </ns0:t>
      </ns0:r>
      <ns0:r>
        <ns0:t xml:space="preserve">observed fiscal year. Installed capacity and positive annual output are closely</ns0:t>
      </ns0:r>
      <ns0:r>
        <ns0:t xml:space="preserve"> </ns0:t>
      </ns0:r>
      <ns0:r>
        <ns0:t xml:space="preserve">related but not identical states.</ns0:t>
      </ns0:r>
    </ns0:p>
    <ns0:p>
      <ns0:pPr>
        <ns0:pStyle ns0:val="af"/>
      </ns0:pPr>
      <ns0:r>
        <ns0:t xml:space="preserve">Only 35 events remain after requiring an exact one-year lag and complete prior</ns0:t>
      </ns0:r>
      <ns0:r>
        <ns0:t xml:space="preserve"> </ns0:t>
      </ns0:r>
      <ns0:r>
        <ns0:t xml:space="preserve">age and capacity; 33 remain after requiring positive prior-year throughput.</ns0:t>
      </ns0:r>
      <ns0:r>
        <ns0:t xml:space="preserve"> </ns0:t>
      </ns0:r>
      <ns0:r>
        <ns0:t xml:space="preserve">This sparse count is central to interpretation. The Firth model addresses</ns0:t>
      </ns0:r>
      <ns0:r>
        <ns0:t xml:space="preserve"> </ns0:t>
      </ns0:r>
      <ns0:r>
        <ns0:t xml:space="preserve">finite-estimate and first-order bias problems, but it cannot create information</ns0:t>
      </ns0:r>
      <ns0:r>
        <ns0:t xml:space="preserve"> </ns0:t>
      </ns0:r>
      <ns0:r>
        <ns0:t xml:space="preserve">that the panel does not contain.</ns0:t>
      </ns0:r>
    </ns0:p>
    <ns0:p>
      <ns0:pPr>
        <ns0:pStyle ns0:val="af"/>
      </ns0:pPr>
      <ns0:r>
        <ns0:t xml:space="preserve">Observed rates already show strong scale ordering. Entry occurs in 1 of 3,854</ns0:t>
      </ns0:r>
      <ns0:r>
        <ns0:t xml:space="preserve"> </ns0:t>
      </ns0:r>
      <ns0:r>
        <ns0:t xml:space="preserve">risk rows in the smallest processing-capacity quartile (0.026%), 2 of 4,175 in</ns0:t>
      </ns0:r>
      <ns0:r>
        <ns0:t xml:space="preserve"> </ns0:t>
      </ns0:r>
      <ns0:r>
        <ns0:t xml:space="preserve">the second quartile (0.048%), 9 of 3,702 in the third (0.243%), and 23 of 3,423</ns0:t>
      </ns0:r>
      <ns0:r>
        <ns0:t xml:space="preserve"> </ns0:t>
      </ns0:r>
      <ns0:r>
        <ns0:t xml:space="preserve">in the largest (0.672%). Because risk duration, calendar period, and age differ</ns0:t>
      </ns0:r>
      <ns0:r>
        <ns0:t xml:space="preserve"> </ns0:t>
      </ns0:r>
      <ns0:r>
        <ns0:t xml:space="preserve">across these groups, the adjusted model is needed before interpreting the</ns0:t>
      </ns0:r>
      <ns0:r>
        <ns0:t xml:space="preserve"> </ns0:t>
      </ns0:r>
      <ns0:r>
        <ns0:t xml:space="preserve">gradient.</ns0:t>
      </ns0:r>
    </ns0:p>
    <ns0:p>
      <ns0:pPr>
        <ns0:pStyle ns0:val="af"/>
      </ns0:pPr>
      <ns0:r>
        <ns0:t xml:space="preserve">The most defensible translation begins where observations are dense. At the</ns0:t>
      </ns0:r>
      <ns0:r>
        <ns0:t xml:space="preserve"> </ns0:t>
      </ns0:r>
      <ns0:r>
        <ns0:t xml:space="preserve">risk-frame 25th percentile, median, and 75th percentile of 24, 60, and 120</ns0:t>
      </ns0:r>
      <ns0:r>
        <ns0:t xml:space="preserve"> </ns0:t>
      </ns0:r>
      <ns0:r>
        <ns0:t xml:space="preserve">t/day, standardized annual predictions are 0.68 (95% confidence interval [CI]</ns0:t>
      </ns0:r>
      <ns0:r>
        <ns0:t xml:space="preserve"> </ns0:t>
      </ns0:r>
      <ns0:r>
        <ns0:t xml:space="preserve">0.35-1.08), 1.37</ns0:t>
      </ns0:r>
      <ns0:r>
        <ns0:t xml:space="preserve"> </ns0:t>
      </ns0:r>
      <ns0:r>
        <ns0:t xml:space="preserve">(0.84-1.97), and 3.29 (2.28-4.57) entries per 1,000 facility-years. The 100</ns0:t>
      </ns0:r>
      <ns0:r>
        <ns0:t xml:space="preserve"> </ns0:t>
      </ns0:r>
      <ns0:r>
        <ns0:t xml:space="preserve">t/day comparison level gives 2.53 (1.73-3.52). Entry is uncommon</ns0:t>
      </ns0:r>
      <ns0:r>
        <ns0:t xml:space="preserve"> </ns0:t>
      </ns0:r>
      <ns0:r>
        <ns0:t xml:space="preserve">throughout this support-rich range, but the fitted absolute risk rises with</ns0:t>
      </ns0:r>
      <ns0:r>
        <ns0:t xml:space="preserve"> </ns0:t>
      </ns0:r>
      <ns0:r>
        <ns0:t xml:space="preserve">processing scale.</ns0:t>
      </ns0:r>
    </ns0:p>
    <ns0:p>
      <ns0:pPr>
        <ns0:pStyle ns0:val="af"/>
      </ns0:pPr>
      <ns0:r>
        <ns0:t xml:space="preserve">The primary five-parameter broad Firth model gives a coefficient of 2.749 on</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r>
          <ns5:t>100</ns5:t>
        </ns5:r>
        <ns5:r>
          <ns5:rPr>
            <ns5:sty ns5:val="p"/>
          </ns5:rPr>
          <ns5:t>)</ns5:t>
        </ns5:r>
      </ns5:oMath>
      <ns0:r>
        <ns0:t xml:space="preserve">. Its retained 300-versus-100 t/day contrast has an odds ratio of</ns0:t>
      </ns0:r>
      <ns0:r>
        <ns0:t xml:space="preserve"> </ns0:t>
      </ns0:r>
      <ns0:r>
        <ns0:t xml:space="preserve">6.72 with a 1,999-lineage-bootstrap 95% confidence interval (CI) of 4.31 to</ns0:t>
      </ns0:r>
      <ns0:r>
        <ns0:t xml:space="preserve"> </ns0:t>
      </ns0:r>
      <ns0:r>
        <ns0:t xml:space="preserve">12.46. The standardized predictions are 2.53 and 16.66 entries per 1,000</ns0:t>
      </ns0:r>
      <ns0:r>
        <ns0:t xml:space="preserve"> </ns0:t>
      </ns0:r>
      <ns0:r>
        <ns0:t xml:space="preserve">facility-years, a difference of 14.13 (7.38-26.77). The 300 t/day value is an</ns0:t>
      </ns0:r>
      <ns0:r>
        <ns0:t xml:space="preserve"> </ns0:t>
      </ns0:r>
      <ns0:r>
        <ns0:t xml:space="preserve">upper-tail prediction at the 98.98th empirical percentile: only 315 rows (2.08%)</ns0:t>
      </ns0:r>
      <ns0:r>
        <ns0:t xml:space="preserve"> </ns0:t>
      </ns0:r>
      <ns0:r>
        <ns0:t xml:space="preserve">and 4 modeled events occur at or above it. It is therefore retained as a</ns0:t>
      </ns0:r>
      <ns0:r>
        <ns0:t xml:space="preserve"> </ns0:t>
      </ns0:r>
      <ns0:r>
        <ns0:t xml:space="preserve">predefined upper-tail sensitivity contrast, not treated as the only or most</ns0:t>
      </ns0:r>
      <ns0:r>
        <ns0:t xml:space="preserve"> </ns0:t>
      </ns0:r>
      <ns0:r>
        <ns0:t xml:space="preserve">representative translation of the model. Figure 3 makes that support difference</ns0:t>
      </ns0:r>
      <ns0:r>
        <ns0:t xml:space="preserve"> </ns0:t>
      </ns0:r>
      <ns0:r>
        <ns0:t xml:space="preserve">visible.</ns0:t>
      </ns0:r>
    </ns0:p>
    <ns0:p>
      <ns0:pPr>
        <ns0:pStyle ns0:val="af"/>
      </ns0:pPr>
      <ns0:r>
        <ns0:t xml:space="preserve">The prior-operation, same-episode, and identity-certain 300-versus-100 odds</ns0:t>
      </ns0:r>
      <ns0:r>
        <ns0:t xml:space="preserve"> </ns0:t>
      </ns0:r>
      <ns0:r>
        <ns0:t xml:space="preserve">ratios are 7.09 (CI 4.08-13.76), 7.15 (CI 4.44-14.05), and 6.76 (CI</ns0:t>
      </ns0:r>
      <ns0:r>
        <ns0:t xml:space="preserve"> </ns0:t>
      </ns0:r>
      <ns0:r>
        <ns0:t xml:space="preserve">4.23-12.30), respectively. Because these frames are nested, their coefficients</ns0:t>
      </ns0:r>
      <ns0:r>
        <ns0:t xml:space="preserve"> </ns0:t>
      </ns0:r>
      <ns0:r>
        <ns0:t xml:space="preserve">are parallel sensitivity estimates rather than between-group contrasts.</ns0:t>
      </ns0:r>
    </ns0:p>
    <ns0:p>
      <ns0:pPr>
        <ns0:pStyle ns0:val="af"/>
      </ns0:pPr>
      <ns0:r>
        <ns0:t xml:space="preserve">The broad continuous-age coefficient is -0.327 per ten years (bootstrap CI</ns0:t>
      </ns0:r>
      <ns0:r>
        <ns0:t xml:space="preserve"> </ns0:t>
      </ns0:r>
      <ns0:r>
        <ns0:t xml:space="preserve">-0.774 to 0.070); the prior-operation and identity-certain intervals also span</ns0:t>
      </ns0:r>
      <ns0:r>
        <ns0:t xml:space="preserve"> </ns0:t>
      </ns0:r>
      <ns0:r>
        <ns0:t xml:space="preserve">zero. The same-episode estimate is more negative (-0.751; CI -1.364 to -0.206)</ns0:t>
      </ns0:r>
      <ns0:r>
        <ns0:t xml:space="preserve"> </ns0:t>
      </ns0:r>
      <ns0:r>
        <ns0:t xml:space="preserve">but relies on only 24 events. This contrast makes age a continuity-sensitive</ns0:t>
      </ns0:r>
      <ns0:r>
        <ns0:t xml:space="preserve"> </ns0:t>
      </ns0:r>
      <ns0:r>
        <ns0:t xml:space="preserve">association, not a general equipment-age response. The expanded 11-parameter</ns0:t>
      </ns0:r>
      <ns0:r>
        <ns0:t xml:space="preserve"> </ns0:t>
      </ns0:r>
      <ns0:r>
        <ns0:t xml:space="preserve">model reaches the same caution: its broad, prior-operation, and</ns0:t>
      </ns0:r>
      <ns0:r>
        <ns0:t xml:space="preserve"> </ns0:t>
      </ns0:r>
      <ns0:r>
        <ns0:t xml:space="preserve">identity-certain joint age tests are not significant, while the same-episode</ns0:t>
      </ns0:r>
      <ns0:r>
        <ns0:t xml:space="preserve"> </ns0:t>
      </ns0:r>
      <ns0:r>
        <ns0:t xml:space="preserve">result changes with covariance choice.</ns0:t>
      </ns0:r>
    </ns0:p>
    <ns0:p>
      <ns0:pPr>
        <ns0:pStyle ns0:val="af"/>
      </ns0:pPr>
      <ns0:r>
        <ns0:t xml:space="preserve">Event influence is small relative to the estimated scale gradient. Reclassifying</ns0:t>
      </ns0:r>
      <ns0:r>
        <ns0:t xml:space="preserve"> </ns0:t>
      </ns0:r>
      <ns0:r>
        <ns0:t xml:space="preserve">each event as a non-event one at a time leaves 300-versus-100 t/day odds ratios</ns0:t>
      </ns0:r>
      <ns0:r>
        <ns0:t xml:space="preserve"> </ns0:t>
      </ns0:r>
      <ns0:r>
        <ns0:t xml:space="preserve">from 6.12 to 7.30. Deleting the event’s entire administrative lineage leaves a</ns0:t>
      </ns0:r>
      <ns0:r>
        <ns0:t xml:space="preserve"> </ns0:t>
      </ns0:r>
      <ns0:r>
        <ns0:t xml:space="preserve">range of 6.13 to 7.30. Thus no one modeled event or event lineage creates the</ns0:t>
      </ns0:r>
      <ns0:r>
        <ns0:t xml:space="preserve"> </ns0:t>
      </ns0:r>
      <ns0:r>
        <ns0:t xml:space="preserve">scale result. These perturbations diagnose influence; they do not make events</ns0:t>
      </ns0:r>
      <ns0:r>
        <ns0:t xml:space="preserve"> </ns0:t>
      </ns0:r>
      <ns0:r>
        <ns0:t xml:space="preserve">independent or validate their physical mechanism.</ns0:t>
      </ns0:r>
    </ns0:p>
    <ns0:p>
      <ns0:pPr>
        <ns0:pStyle ns0:val="af"/>
      </ns0:pPr>
      <ns0:r>
        <ns0:t xml:space="preserve">The scale association also remains positive under broader specification attacks.</ns0:t>
      </ns0:r>
      <ns0:r>
        <ns0:t xml:space="preserve"> </ns0:t>
      </ns0:r>
      <ns0:r>
        <ns0:t xml:space="preserve">Using</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oMath>
      <ns0:r>
        <ns0:t xml:space="preserve"> </ns0:t>
      </ns0:r>
      <ns0:r>
        <ns0:t xml:space="preserve">gives a 300-versus-100 t/day odds ratio of 5.01 (model-based</ns0:t>
      </ns0:r>
      <ns0:r>
        <ns0:t xml:space="preserve"> </ns0:t>
      </ns0:r>
      <ns0:r>
        <ns0:t xml:space="preserve">95% CI 2.85-8.83), while a linear capacity term gives 4.22 (2.69-6.61).</ns0:t>
      </ns0:r>
      <ns0:r>
        <ns0:t xml:space="preserve"> </ns0:t>
      </ns0:r>
      <ns0:r>
        <ns0:t xml:space="preserve">Omitting each event prefecture in turn produces odds ratios from 6.14 to 7.18</ns0:t>
      </ns0:r>
      <ns0:r>
        <ns0:t xml:space="preserve"> </ns0:t>
      </ns0:r>
      <ns0:r>
        <ns0:t xml:space="preserve">across 21 fits. The stricter two-prior-year reporting-state frame retains 30</ns0:t>
      </ns0:r>
      <ns0:r>
        <ns0:t xml:space="preserve"> </ns0:t>
      </ns0:r>
      <ns0:r>
        <ns0:t xml:space="preserve">events and gives an odds ratio of 6.21 (3.26-11.81). The magnitudes vary, as</ns0:t>
      </ns0:r>
      <ns0:r>
        <ns0:t xml:space="preserve"> </ns0:t>
      </ns0:r>
      <ns0:r>
        <ns0:t xml:space="preserve">expected when the capacity scale and risk-set history change, but none of these</ns0:t>
      </ns0:r>
      <ns0:r>
        <ns0:t xml:space="preserve"> </ns0:t>
      </ns0:r>
      <ns0:r>
        <ns0:t xml:space="preserve">diagnostics reverses the scale ordering. Their intervals are model-based; only</ns0:t>
      </ns0:r>
      <ns0:r>
        <ns0:t xml:space="preserve"> </ns0:t>
      </ns0:r>
      <ns0:r>
        <ns0:t xml:space="preserve">the primary result uses the 1,999-lineage bootstrap as its headline</ns0:t>
      </ns0:r>
      <ns0:r>
        <ns0:t xml:space="preserve"> </ns0:t>
      </ns0:r>
      <ns0:r>
        <ns0:t xml:space="preserve">uncertainty.</ns0:t>
      </ns0:r>
    </ns0:p>
    <ns0:p>
      <ns0:pPr>
        <ns0:pStyle ns0:val="af"/>
      </ns0:pPr>
      <ns0:r>
        <ns0:t xml:space="preserve">The design audit gives a correlation of 0.909 between calendar time and logged</ns0:t>
      </ns0:r>
      <ns0:r>
        <ns0:t xml:space="preserve"> </ns0:t>
      </ns0:r>
      <ns0:r>
        <ns0:t xml:space="preserve">elapsed risk. Their variance inflation factors (VIFs) are 5.76 and 6.15, so</ns0:t>
      </ns0:r>
      <ns0:r>
        <ns0:t xml:space="preserve"> </ns0:t>
      </ns0:r>
      <ns0:r>
        <ns0:t xml:space="preserve">those temporal coefficients are not interpreted separately. The processing-</ns0:t>
      </ns0:r>
      <ns0:r>
        <ns0:t xml:space="preserve"> </ns0:t>
      </ns0:r>
      <ns0:r>
        <ns0:t xml:space="preserve">scale VIF is only 1.10, and its correlations with calendar time and elapsed</ns0:t>
      </ns0:r>
      <ns0:r>
        <ns0:t xml:space="preserve"> </ns0:t>
      </ns0:r>
      <ns0:r>
        <ns0:t xml:space="preserve">risk are 0.013 and 0.039. Temporal dependence therefore qualifies the nuisance</ns0:t>
      </ns0:r>
      <ns0:r>
        <ns0:t xml:space="preserve"> </ns0:t>
      </ns0:r>
      <ns0:r>
        <ns0:t xml:space="preserve">time terms but does not explain the estimated scale ordering. The flexible</ns0:t>
      </ns0:r>
      <ns0:r>
        <ns0:t xml:space="preserve"> </ns0:t>
      </ns0:r>
      <ns0:r>
        <ns0:t xml:space="preserve">era/duration sensitivity yields a similar 300-versus-100 odds ratio of 6.13.</ns0:t>
      </ns0:r>
    </ns0:p>
    <ns0:p>
      <ns0:pPr>
        <ns0:pStyle ns0:val="af"/>
      </ns0:pPr>
      <ns0:r>
        <ns0:rPr>
          <ns0:b/>
          <ns0:bCs/>
        </ns0:rPr>
        <ns0:t xml:space="preserve">Table 3. Consolidated entry specification audit</ns0:t>
      </ns0:r>
    </ns0:p>
    <ns0:tbl>
      <ns0:tblPr>
        <ns0:tblStyle ns0:val="Table"/>
        <ns0:tblW ns0:type="pct" ns0:w="5000"/>
        <ns0:tblLayout ns0:type="fixed"/>
        <ns0:tblLook ns0:firstRow="1" ns0:lastRow="0" ns0:firstColumn="0" ns0:lastColumn="0" ns0:noHBand="0" ns0:noVBand="0" ns0:val="0020"/>
      </ns0:tblPr>
      <ns0:tblGrid>
        <ns0:gridCol ns0:w="1980"/>
        <ns0:gridCol ns0:w="1980"/>
        <ns0:gridCol ns0:w="1980"/>
        <ns0:gridCol ns0:w="1980"/>
      </ns0:tblGrid>
      <ns0:tr>
        <ns0:trPr>
          <ns0:tblHeader ns0:val="on"/>
        </ns0:trPr>
        <ns0:tc>
          <ns0:tcPr/>
          <ns0:p>
            <ns0:pPr>
              <ns0:pStyle ns0:val="Compact"/>
              <ns0:jc ns0:val="left"/>
            </ns0:pPr>
            <ns0:r>
              <ns0:t xml:space="preserve">Specification</ns0:t>
            </ns0:r>
          </ns0:p>
        </ns0:tc>
        <ns0:tc>
          <ns0:tcPr/>
          <ns0:p>
            <ns0:pPr>
              <ns0:pStyle ns0:val="Compact"/>
              <ns0:jc ns0:val="right"/>
            </ns0:pPr>
            <ns0:r>
              <ns0:t xml:space="preserve">Events or fits</ns0:t>
            </ns0:r>
          </ns0:p>
        </ns0:tc>
        <ns0:tc>
          <ns0:tcPr/>
          <ns0:p>
            <ns0:pPr>
              <ns0:pStyle ns0:val="Compact"/>
              <ns0:jc ns0:val="left"/>
            </ns0:pPr>
            <ns0:r>
              <ns0:t xml:space="preserve">300-versus-100 t/day odds ratio (95% CI or range)</ns0:t>
            </ns0:r>
          </ns0:p>
        </ns0:tc>
        <ns0:tc>
          <ns0:tcPr/>
          <ns0:p>
            <ns0:pPr>
              <ns0:pStyle ns0:val="Compact"/>
              <ns0:jc ns0:val="left"/>
            </ns0:pPr>
            <ns0:r>
              <ns0:t xml:space="preserve">What the check addresses</ns0:t>
            </ns0:r>
          </ns0:p>
        </ns0:tc>
      </ns0:tr>
      <ns0:tr>
        <ns0:tc>
          <ns0:tcPr/>
          <ns0:p>
            <ns0:pPr>
              <ns0:pStyle ns0:val="Compact"/>
              <ns0:jc ns0:val="left"/>
            </ns0:pPr>
            <ns0:r>
              <ns0:t xml:space="preserve">Primary five-parameter broad frame</ns0:t>
            </ns0:r>
          </ns0:p>
        </ns0:tc>
        <ns0:tc>
          <ns0:tcPr/>
          <ns0:p>
            <ns0:pPr>
              <ns0:pStyle ns0:val="Compact"/>
              <ns0:jc ns0:val="right"/>
            </ns0:pPr>
            <ns0:r>
              <ns0:t xml:space="preserve">35 events</ns0:t>
            </ns0:r>
          </ns0:p>
        </ns0:tc>
        <ns0:tc>
          <ns0:tcPr/>
          <ns0:p>
            <ns0:pPr>
              <ns0:pStyle ns0:val="Compact"/>
              <ns0:jc ns0:val="left"/>
            </ns0:pPr>
            <ns0:r>
              <ns0:t xml:space="preserve">6.72 (4.31-12.46)</ns0:t>
            </ns0:r>
          </ns0:p>
        </ns0:tc>
        <ns0:tc>
          <ns0:tcPr/>
          <ns0:p>
            <ns0:pPr>
              <ns0:pStyle ns0:val="Compact"/>
              <ns0:jc ns0:val="left"/>
            </ns0:pPr>
            <ns0:r>
              <ns0:t xml:space="preserve">Primary; 1,999-lineage bootstrap</ns0:t>
            </ns0:r>
          </ns0:p>
        </ns0:tc>
      </ns0:tr>
      <ns0:tr>
        <ns0:tc>
          <ns0:tcPr/>
          <ns0:p>
            <ns0:pPr>
              <ns0:pStyle ns0:val="Compact"/>
              <ns0:jc ns0:val="left"/>
            </ns0:pPr>
            <ns0:r>
              <ns0:t xml:space="preserve">Prior-operation frame</ns0:t>
            </ns0:r>
          </ns0:p>
        </ns0:tc>
        <ns0:tc>
          <ns0:tcPr/>
          <ns0:p>
            <ns0:pPr>
              <ns0:pStyle ns0:val="Compact"/>
              <ns0:jc ns0:val="right"/>
            </ns0:pPr>
            <ns0:r>
              <ns0:t xml:space="preserve">33 events</ns0:t>
            </ns0:r>
          </ns0:p>
        </ns0:tc>
        <ns0:tc>
          <ns0:tcPr/>
          <ns0:p>
            <ns0:pPr>
              <ns0:pStyle ns0:val="Compact"/>
              <ns0:jc ns0:val="left"/>
            </ns0:pPr>
            <ns0:r>
              <ns0:t xml:space="preserve">7.09 (4.08-13.76)</ns0:t>
            </ns0:r>
          </ns0:p>
        </ns0:tc>
        <ns0:tc>
          <ns0:tcPr/>
          <ns0:p>
            <ns0:pPr>
              <ns0:pStyle ns0:val="Compact"/>
              <ns0:jc ns0:val="left"/>
            </ns0:pPr>
            <ns0:r>
              <ns0:t xml:space="preserve">Positive prior-year throughput</ns0:t>
            </ns0:r>
          </ns0:p>
        </ns0:tc>
      </ns0:tr>
      <ns0:tr>
        <ns0:tc>
          <ns0:tcPr/>
          <ns0:p>
            <ns0:pPr>
              <ns0:pStyle ns0:val="Compact"/>
              <ns0:jc ns0:val="left"/>
            </ns0:pPr>
            <ns0:r>
              <ns0:t xml:space="preserve">Same-episode frame</ns0:t>
            </ns0:r>
          </ns0:p>
        </ns0:tc>
        <ns0:tc>
          <ns0:tcPr/>
          <ns0:p>
            <ns0:pPr>
              <ns0:pStyle ns0:val="Compact"/>
              <ns0:jc ns0:val="right"/>
            </ns0:pPr>
            <ns0:r>
              <ns0:t xml:space="preserve">24 events</ns0:t>
            </ns0:r>
          </ns0:p>
        </ns0:tc>
        <ns0:tc>
          <ns0:tcPr/>
          <ns0:p>
            <ns0:pPr>
              <ns0:pStyle ns0:val="Compact"/>
              <ns0:jc ns0:val="left"/>
            </ns0:pPr>
            <ns0:r>
              <ns0:t xml:space="preserve">7.15 (4.44-14.05)</ns0:t>
            </ns0:r>
          </ns0:p>
        </ns0:tc>
        <ns0:tc>
          <ns0:tcPr/>
          <ns0:p>
            <ns0:pPr>
              <ns0:pStyle ns0:val="Compact"/>
              <ns0:jc ns0:val="left"/>
            </ns0:pPr>
            <ns0:r>
              <ns0:t xml:space="preserve">Episode-boundary continuity</ns0:t>
            </ns0:r>
          </ns0:p>
        </ns0:tc>
      </ns0:tr>
      <ns0:tr>
        <ns0:tc>
          <ns0:tcPr/>
          <ns0:p>
            <ns0:pPr>
              <ns0:pStyle ns0:val="Compact"/>
              <ns0:jc ns0:val="left"/>
            </ns0:pPr>
            <ns0:r>
              <ns0:t xml:space="preserve">Identity-certain frame</ns0:t>
            </ns0:r>
          </ns0:p>
        </ns0:tc>
        <ns0:tc>
          <ns0:tcPr/>
          <ns0:p>
            <ns0:pPr>
              <ns0:pStyle ns0:val="Compact"/>
              <ns0:jc ns0:val="right"/>
            </ns0:pPr>
            <ns0:r>
              <ns0:t xml:space="preserve">35 events</ns0:t>
            </ns0:r>
          </ns0:p>
        </ns0:tc>
        <ns0:tc>
          <ns0:tcPr/>
          <ns0:p>
            <ns0:pPr>
              <ns0:pStyle ns0:val="Compact"/>
              <ns0:jc ns0:val="left"/>
            </ns0:pPr>
            <ns0:r>
              <ns0:t xml:space="preserve">6.76 (4.23-12.30)</ns0:t>
            </ns0:r>
          </ns0:p>
        </ns0:tc>
        <ns0:tc>
          <ns0:tcPr/>
          <ns0:p>
            <ns0:pPr>
              <ns0:pStyle ns0:val="Compact"/>
              <ns0:jc ns0:val="left"/>
            </ns0:pPr>
            <ns0:r>
              <ns0:t xml:space="preserve">Uncertain-link exclusion</ns0:t>
            </ns0:r>
          </ns0:p>
        </ns0:tc>
      </ns0:tr>
      <ns0:tr>
        <ns0:tc>
          <ns0:tcPr/>
          <ns0:p>
            <ns0:pPr>
              <ns0:pStyle ns0:val="Compact"/>
              <ns0:jc ns0:val="left"/>
            </ns0:pPr>
            <ns0:r>
              <ns0:t xml:space="preserve">Flexible era/duration Firth model</ns0:t>
            </ns0:r>
          </ns0:p>
        </ns0:tc>
        <ns0:tc>
          <ns0:tcPr/>
          <ns0:p>
            <ns0:pPr>
              <ns0:pStyle ns0:val="Compact"/>
              <ns0:jc ns0:val="right"/>
            </ns0:pPr>
            <ns0:r>
              <ns0:t xml:space="preserve">35 events</ns0:t>
            </ns0:r>
          </ns0:p>
        </ns0:tc>
        <ns0:tc>
          <ns0:tcPr/>
          <ns0:p>
            <ns0:pPr>
              <ns0:pStyle ns0:val="Compact"/>
              <ns0:jc ns0:val="left"/>
            </ns0:pPr>
            <ns0:r>
              <ns0:t xml:space="preserve">6.13 (3.92-11.21)</ns0:t>
            </ns0:r>
          </ns0:p>
        </ns0:tc>
        <ns0:tc>
          <ns0:tcPr/>
          <ns0:p>
            <ns0:pPr>
              <ns0:pStyle ns0:val="Compact"/>
              <ns0:jc ns0:val="left"/>
            </ns0:pPr>
            <ns0:r>
              <ns0:t xml:space="preserve">11-parameter temporal-form sensitivity; 499 whole-lineage bootstrap replications</ns0:t>
            </ns0:r>
          </ns0:p>
        </ns0:tc>
      </ns0:tr>
      <ns0:tr>
        <ns0:tc>
          <ns0:tcPr/>
          <ns0:p>
            <ns0:pPr>
              <ns0:pStyle ns0:val="Compact"/>
              <ns0:jc ns0:val="left"/>
            </ns0:pPr>
            <ns0:r>
              <ns0:t xml:space="preserve">Alternative capacity forms</ns0:t>
            </ns0:r>
          </ns0:p>
        </ns0:tc>
        <ns0:tc>
          <ns0:tcPr/>
          <ns0:p>
            <ns0:pPr>
              <ns0:pStyle ns0:val="Compact"/>
              <ns0:jc ns0:val="right"/>
            </ns0:pPr>
            <ns0:r>
              <ns0:t xml:space="preserve">2 fits</ns0:t>
            </ns0:r>
          </ns0:p>
        </ns0:tc>
        <ns0:tc>
          <ns0:tcPr/>
          <ns0:p>
            <ns0:pPr>
              <ns0:pStyle ns0:val="Compact"/>
              <ns0:jc ns0:val="left"/>
            </ns0:pPr>
            <ns0:r>
              <ns0:t xml:space="preserve">4.22-5.01 (lower CI bounds 2.69-2.85)</ns0:t>
            </ns0:r>
          </ns0:p>
        </ns0:tc>
        <ns0:tc>
          <ns0:tcPr/>
          <ns0:p>
            <ns0:pPr>
              <ns0:pStyle ns0:val="Compact"/>
              <ns0:jc ns0:val="left"/>
            </ns0:pPr>
            <ns0:r>
              <ns0:t xml:space="preserve">Functional form; model-based intervals</ns0:t>
            </ns0:r>
          </ns0:p>
        </ns0:tc>
      </ns0:tr>
      <ns0:tr>
        <ns0:tc>
          <ns0:tcPr/>
          <ns0:p>
            <ns0:pPr>
              <ns0:pStyle ns0:val="Compact"/>
              <ns0:jc ns0:val="left"/>
            </ns0:pPr>
            <ns0:r>
              <ns0:t xml:space="preserve">Two-prior-year reporting state</ns0:t>
            </ns0:r>
          </ns0:p>
        </ns0:tc>
        <ns0:tc>
          <ns0:tcPr/>
          <ns0:p>
            <ns0:pPr>
              <ns0:pStyle ns0:val="Compact"/>
              <ns0:jc ns0:val="right"/>
            </ns0:pPr>
            <ns0:r>
              <ns0:t xml:space="preserve">30 events</ns0:t>
            </ns0:r>
          </ns0:p>
        </ns0:tc>
        <ns0:tc>
          <ns0:tcPr/>
          <ns0:p>
            <ns0:pPr>
              <ns0:pStyle ns0:val="Compact"/>
              <ns0:jc ns0:val="left"/>
            </ns0:pPr>
            <ns0:r>
              <ns0:t xml:space="preserve">6.21 (3.26-11.81)</ns0:t>
            </ns0:r>
          </ns0:p>
        </ns0:tc>
        <ns0:tc>
          <ns0:tcPr/>
          <ns0:p>
            <ns0:pPr>
              <ns0:pStyle ns0:val="Compact"/>
              <ns0:jc ns0:val="left"/>
            </ns0:pPr>
            <ns0:r>
              <ns0:t xml:space="preserve">Stricter prior-state evidence</ns0:t>
            </ns0:r>
          </ns0:p>
        </ns0:tc>
      </ns0:tr>
      <ns0:tr>
        <ns0:tc>
          <ns0:tcPr/>
          <ns0:p>
            <ns0:pPr>
              <ns0:pStyle ns0:val="Compact"/>
              <ns0:jc ns0:val="left"/>
            </ns0:pPr>
            <ns0:r>
              <ns0:t xml:space="preserve">Leave-one-event-prefecture fits</ns0:t>
            </ns0:r>
          </ns0:p>
        </ns0:tc>
        <ns0:tc>
          <ns0:tcPr/>
          <ns0:p>
            <ns0:pPr>
              <ns0:pStyle ns0:val="Compact"/>
              <ns0:jc ns0:val="right"/>
            </ns0:pPr>
            <ns0:r>
              <ns0:t xml:space="preserve">21 fits</ns0:t>
            </ns0:r>
          </ns0:p>
        </ns0:tc>
        <ns0:tc>
          <ns0:tcPr/>
          <ns0:p>
            <ns0:pPr>
              <ns0:pStyle ns0:val="Compact"/>
              <ns0:jc ns0:val="left"/>
            </ns0:pPr>
            <ns0:r>
              <ns0:t xml:space="preserve">6.14-7.18</ns0:t>
            </ns0:r>
          </ns0:p>
        </ns0:tc>
        <ns0:tc>
          <ns0:tcPr/>
          <ns0:p>
            <ns0:pPr>
              <ns0:pStyle ns0:val="Compact"/>
              <ns0:jc ns0:val="left"/>
            </ns0:pPr>
            <ns0:r>
              <ns0:t xml:space="preserve">Geographic concentration and influence, not confounding control</ns0:t>
            </ns0:r>
          </ns0:p>
        </ns0:tc>
      </ns0:tr>
      <ns0:tr>
        <ns0:tc>
          <ns0:tcPr/>
          <ns0:p>
            <ns0:pPr>
              <ns0:pStyle ns0:val="Compact"/>
              <ns0:jc ns0:val="left"/>
            </ns0:pPr>
            <ns0:r>
              <ns0:t xml:space="preserve">Event or event-lineage attacks</ns0:t>
            </ns0:r>
          </ns0:p>
        </ns0:tc>
        <ns0:tc>
          <ns0:tcPr/>
          <ns0:p>
            <ns0:pPr>
              <ns0:pStyle ns0:val="Compact"/>
              <ns0:jc ns0:val="right"/>
            </ns0:pPr>
            <ns0:r>
              <ns0:t xml:space="preserve">70 fits</ns0:t>
            </ns0:r>
          </ns0:p>
        </ns0:tc>
        <ns0:tc>
          <ns0:tcPr/>
          <ns0:p>
            <ns0:pPr>
              <ns0:pStyle ns0:val="Compact"/>
              <ns0:jc ns0:val="left"/>
            </ns0:pPr>
            <ns0:r>
              <ns0:t xml:space="preserve">6.12-7.30</ns0:t>
            </ns0:r>
          </ns0:p>
        </ns0:tc>
        <ns0:tc>
          <ns0:tcPr/>
          <ns0:p>
            <ns0:pPr>
              <ns0:pStyle ns0:val="Compact"/>
              <ns0:jc ns0:val="left"/>
            </ns0:pPr>
            <ns0:r>
              <ns0:t xml:space="preserve">Single-event influence</ns0:t>
            </ns0:r>
          </ns0:p>
        </ns0:tc>
      </ns0:tr>
    </ns0:tbl>
    <ns0:p>
      <ns0:pPr>
        <ns0:pStyle ns0:val="af"/>
      </ns0:pPr>
      <ns0:r>
        <ns0:t xml:space="preserve">The table distinguishes bootstrap headline inference from model-based and</ns0:t>
      </ns0:r>
      <ns0:r>
        <ns0:t xml:space="preserve"> </ns0:t>
      </ns0:r>
      <ns0:r>
        <ns0:t xml:space="preserve">deletion diagnostics. A stable direction across these rows does not recover the</ns0:t>
      </ns0:r>
      <ns0:r>
        <ns0:t xml:space="preserve"> </ns0:t>
      </ns0:r>
      <ns0:r>
        <ns0:t xml:space="preserve">unobserved technology, finance, policy exposure, or project history omitted from</ns0:t>
      </ns0:r>
      <ns0:r>
        <ns0:t xml:space="preserve"> </ns0:t>
      </ns0:r>
      <ns0:r>
        <ns0:t xml:space="preserve">the model.</ns0:t>
      </ns0:r>
    </ns0:p>
    <ns0:p>
      <ns0:pPr>
        <ns0:pStyle ns0:val="CaptionedFigure"/>
      </ns0:pPr>
      <ns0:r>
        <ns0:drawing>
          <ns1:inline>
            <ns1:extent cx="4495545" cy="2568882"/>
            <ns1:effectExtent b="0" l="0" r="0" t="0"/>
            <ns1:docPr descr="Figure 3. Standardized annual first-entry risk from the five-parameter Firth logistic model, expressed as entries per 1,000 facility-years at specified prior-year processing capacities. Points are model-standardized predictions; vertical bars are 95% intervals from 1,999 whole-lineage bootstrap replications. Panel A shows the support-rich 24-120 t/day range. Panel B uses a different vertical scale to isolate the 300 t/day prediction; 300 t/day is the 98.98th percentile, with only 315 risk rows and four events at or above that level." title="" id="43" name="Picture"/>
            <ns2:graphic>
              <ns2:graphicData uri="http://schemas.openxmlformats.org/drawingml/2006/picture">
                <ns3:pic>
                  <ns3:nvPicPr>
                    <ns3:cNvPr descr="../../figures/thesis_entry_support.png" id="44" name="Picture"/>
                    <ns3:cNvPicPr>
                      <ns2:picLocks noChangeArrowheads="1" noChangeAspect="1"/>
                    </ns3:cNvPicPr>
                  </ns3:nvPicPr>
                  <ns3:blipFill>
                    <ns2:blip ns4:embed="rId42"/>
                    <ns2:stretch>
                      <ns2:fillRect/>
                    </ns2:stretch>
                  </ns3:blipFill>
                  <ns3:spPr bwMode="auto">
                    <ns2:xfrm>
                      <ns2:off x="0" y="0"/>
                      <ns2:ext cx="4495545" cy="2568882"/>
                    </ns2:xfrm>
                    <ns2:prstGeom prst="rect">
                      <ns2:avLst/>
                    </ns2:prstGeom>
                    <ns2:noFill/>
                    <ns2:ln w="9525">
                      <ns2:noFill/>
                      <ns2:headEnd/>
                      <ns2:tailEnd/>
                    </ns2:ln>
                  </ns3:spPr>
                </ns3:pic>
              </ns2:graphicData>
            </ns2:graphic>
          </ns1:inline>
        </ns0:drawing>
      </ns0:r>
    </ns0:p>
    <ns0:p>
      <ns0:pPr>
        <ns0:pStyle ns0:val="ImageCaption"/>
      </ns0:pPr>
      <ns0:r>
        <ns0:t xml:space="preserve">Figure 3. Standardized annual first-entry risk from the five-parameter Firth logistic model, expressed as entries per 1,000 facility-years at specified prior-year processing capacities. Points are model-standardized predictions; vertical bars are 95% intervals from 1,999 whole-lineage bootstrap replications. Panel A shows the support-rich 24-120 t/day range. Panel B uses a different vertical scale to isolate the 300 t/day prediction; 300 t/day is the 98.98th percentile, with only 315 risk rows and four events at or above that level.</ns0:t>
      </ns0:r>
    </ns0:p>
    <ns0:p>
      <ns0:pPr>
        <ns0:pStyle ns0:val="af"/>
      </ns0:pPr>
      <ns0:r>
        <ns0:t xml:space="preserve">The supported RQ2 conclusion is narrow and stable across the reported</ns0:t>
      </ns0:r>
      <ns0:r>
        <ns0:t xml:space="preserve"> </ns0:t>
      </ns0:r>
      <ns0:r>
        <ns0:t xml:space="preserve">sensitivities. First reported capacity entry is rare and positively associated</ns0:t>
      </ns0:r>
      <ns0:r>
        <ns0:t xml:space="preserve"> </ns0:t>
      </ns0:r>
      <ns0:r>
        <ns0:t xml:space="preserve">with processing scale. This concerns witnessed</ns0:t>
      </ns0:r>
      <ns0:r>
        <ns0:t xml:space="preserve"> </ns0:t>
      </ns0:r>
      <ns0:r>
        <ns0:t xml:space="preserve">transitions among prior non-generators, not entry across the whole fleet. It</ns0:t>
      </ns0:r>
      <ns0:r>
        <ns0:t xml:space="preserve"> </ns0:t>
      </ns0:r>
      <ns0:r>
        <ns0:t xml:space="preserve">remains observational: scale can proxy for contracts, finances, catchments,</ns0:t>
      </ns0:r>
      <ns0:r>
        <ns0:t xml:space="preserve"> </ns0:t>
      </ns0:r>
      <ns0:r>
        <ns0:t xml:space="preserve">technology, geography, or municipal capacity.</ns0:t>
      </ns0:r>
    </ns0:p>
    <ns0:bookmarkEnd ns0:id="45"/>
    <ns0:bookmarkStart ns0:id="49" ns0:name="Xf6adbf32adc2f76b3f231d688e4b2426b7e4c53"/>
    <ns0:p>
      <ns0:pPr>
        <ns0:pStyle ns0:val="21"/>
      </ns0:pPr>
      <ns0:r>
        <ns0:t xml:space="preserve">4.3 RQ3: cohort differences show a substantial installed-sizing component</ns0:t>
      </ns0:r>
    </ns0:p>
    <ns0:p>
      <ns0:pPr>
        <ns0:pStyle ns0:val="FirstParagraph"/>
      </ns0:pPr>
      <ns0:r>
        <ns0:rPr>
          <ns0:b/>
          <ns0:bCs/>
        </ns0:rPr>
        <ns0:t xml:space="preserve">Answer first.</ns0:t>
      </ns0:r>
      <ns0:r>
        <ns0:t xml:space="preserve"> </ns0:t>
      </ns0:r>
      <ns0:r>
        <ns0:t xml:space="preserve">Reported start-year cohorts differ much more clearly in</ns0:t>
      </ns0:r>
      <ns0:r>
        <ns0:t xml:space="preserve"> </ns0:t>
      </ns0:r>
      <ns0:r>
        <ns0:t xml:space="preserve">installed generator size than in uniformly lower annual electrical-capacity</ns0:t>
      </ns0:r>
      <ns0:r>
        <ns0:t xml:space="preserve"> </ns0:t>
      </ns0:r>
      <ns0:r>
        <ns0:t xml:space="preserve">use. Gross MWh/t therefore cannot distinguish design from operation unless its</ns0:t>
      </ns0:r>
      <ns0:r>
        <ns0:t xml:space="preserve"> </ns0:t>
      </ns0:r>
      <ns0:r>
        <ns0:t xml:space="preserve">components are analyzed separately.</ns0:t>
      </ns0:r>
    </ns0:p>
    <ns0:p>
      <ns0:pPr>
        <ns0:pStyle ns0:val="af"/>
      </ns0:pPr>
      <ns0:r>
        <ns0:t xml:space="preserve">The engineering-valid generator frame has 6,511 observations from 493 stable</ns0:t>
      </ns0:r>
      <ns0:r>
        <ns0:t xml:space="preserve"> </ns0:t>
      </ns0:r>
      <ns0:r>
        <ns0:t xml:space="preserve">lineages. Median gross intensity is 0.327 MWh/t, median generator design</ns0:t>
      </ns0:r>
      <ns0:r>
        <ns0:t xml:space="preserve"> </ns0:t>
      </ns0:r>
      <ns0:r>
        <ns0:t xml:space="preserve">intensity is 14.0 kW per t/day, median electrical capacity factor is 0.607, and</ns0:t>
      </ns0:r>
      <ns0:r>
        <ns0:t xml:space="preserve"> </ns0:t>
      </ns0:r>
      <ns0:r>
        <ns0:t xml:space="preserve">median waste-processing utilization is 0.609. These summaries describe</ns0:t>
      </ns0:r>
      <ns0:r>
        <ns0:t xml:space="preserve"> </ns0:t>
      </ns0:r>
      <ns0:r>
        <ns0:t xml:space="preserve">generator-years that pass stated bounds, not the full fleet.</ns0:t>
      </ns0:r>
    </ns0:p>
    <ns0:p>
      <ns0:pPr>
        <ns0:pStyle ns0:val="af"/>
      </ns0:pPr>
      <ns0:r>
        <ns0:t xml:space="preserve">The RQ3 conclusion rests first on separate raw installed-kW and annual capacity-</ns0:t>
      </ns0:r>
      <ns0:r>
        <ns0:t xml:space="preserve"> </ns0:t>
      </ns0:r>
      <ns0:r>
        <ns0:t xml:space="preserve">factor models. The exact component identity then explains how those independently</ns0:t>
      </ns0:r>
      <ns0:r>
        <ns0:t xml:space="preserve"> </ns0:t>
      </ns0:r>
      <ns0:r>
        <ns0:t xml:space="preserve">reported quantities combine; it is not treated as independent evidence that</ns0:t>
      </ns0:r>
      <ns0:r>
        <ns0:t xml:space="preserve"> </ns0:t>
      </ns0:r>
      <ns0:r>
        <ns0:t xml:space="preserve">sizing must dominate.</ns0:t>
      </ns0:r>
    </ns0:p>
    <ns0:p>
      <ns0:pPr>
        <ns0:pStyle ns0:val="af"/>
      </ns0:pPr>
      <ns0:r>
        <ns0:t xml:space="preserve">Reported facility start-year cohorts differ much more in installed generator</ns0:t>
      </ns0:r>
      <ns0:r>
        <ns0:t xml:space="preserve"> </ns0:t>
      </ns0:r>
      <ns0:r>
        <ns0:t xml:space="preserve">size than in annual capacity factor. Median design intensity rises from 5.33 kW per t/day</ns0:t>
      </ns0:r>
      <ns0:r>
        <ns0:t xml:space="preserve"> </ns0:t>
      </ns0:r>
      <ns0:r>
        <ns0:t xml:space="preserve">before 1990 to 10.83 in the 1990s, 15.83 in the 2000s, and 20.59 in 2010 or</ns0:t>
      </ns0:r>
      <ns0:r>
        <ns0:t xml:space="preserve"> </ns0:t>
      </ns0:r>
      <ns0:r>
        <ns0:t xml:space="preserve">later. Median gross intensity rises in parallel from 0.145 to 0.283, 0.348, and</ns0:t>
      </ns0:r>
      <ns0:r>
        <ns0:t xml:space="preserve"> </ns0:t>
      </ns0:r>
      <ns0:r>
        <ns0:t xml:space="preserve">0.475 MWh/t. Median electrical capacity factors are 0.619, 0.625, 0.561, and</ns0:t>
      </ns0:r>
      <ns0:r>
        <ns0:t xml:space="preserve"> </ns0:t>
      </ns0:r>
      <ns0:r>
        <ns0:t xml:space="preserve">0.664; they do not show a comparable monotonic gradient.</ns0:t>
      </ns0:r>
    </ns0:p>
    <ns0:p>
      <ns0:pPr>
        <ns0:pStyle ns0:val="af"/>
      </ns0:pPr>
      <ns0:r>
        <ns0:t xml:space="preserve">The raw installed-kW model sharpens this pattern. Relative to the 2010-or-later</ns0:t>
      </ns0:r>
      <ns0:r>
        <ns0:t xml:space="preserve"> </ns0:t>
      </ns0:r>
      <ns0:r>
        <ns0:t xml:space="preserve">cohort and conditional on processing design capacity, technology, furnace count,</ns0:t>
      </ns0:r>
      <ns0:r>
        <ns0:t xml:space="preserve"> </ns0:t>
      </ns0:r>
      <ns0:r>
        <ns0:t xml:space="preserve">and fiscal year, adjusted installed electrical capacity is 79.1% lower before</ns0:t>
      </ns0:r>
      <ns0:r>
        <ns0:t xml:space="preserve"> </ns0:t>
      </ns0:r>
      <ns0:r>
        <ns0:t xml:space="preserve">1990 (95% CI 75.3%-82.3% lower), 58.6% lower for 1990-1999 (53.2%-63.5%), and</ns0:t>
      </ns0:r>
      <ns0:r>
        <ns0:t xml:space="preserve"> </ns0:t>
      </ns0:r>
      <ns0:r>
        <ns0:t xml:space="preserve">23.5% lower for 2000-2009 (16.7%-29.6%). The elasticity of installed kW with</ns0:t>
      </ns0:r>
      <ns0:r>
        <ns0:t xml:space="preserve"> </ns0:t>
      </ns0:r>
      <ns0:r>
        <ns0:t xml:space="preserve">respect to processing t/day is 1.532 (95% CI 1.447-1.617), and the coefficient</ns0:t>
      </ns0:r>
      <ns0:r>
        <ns0:t xml:space="preserve"> </ns0:t>
      </ns0:r>
      <ns0:r>
        <ns0:t xml:space="preserve">of determination (</ns0:t>
      </ns0:r>
      <ns5:oMath>
        <ns5:sSup>
          <ns5:e>
            <ns5:r>
              <ns5:t>R</ns5:t>
            </ns5:r>
          </ns5:e>
          <ns5:sup>
            <ns5:r>
              <ns5:t>2</ns5:t>
            </ns5:r>
          </ns5:sup>
        </ns5:sSup>
      </ns5:oMath>
      <ns0:r>
        <ns0:t xml:space="preserve">) is</ns0:t>
      </ns0:r>
      <ns0:r>
        <ns0:t xml:space="preserve"> </ns0:t>
      </ns0:r>
      <ns0:r>
        <ns0:t xml:space="preserve">0.786. Subtracting one from this elasticity gives the 0.532 design-intensity</ns0:t>
      </ns0:r>
      <ns0:r>
        <ns0:t xml:space="preserve"> </ns0:t>
      </ns0:r>
      <ns0:r>
        <ns0:t xml:space="preserve">elasticity under identical controls; that equality is a change of outcome</ns0:t>
      </ns0:r>
      <ns0:r>
        <ns0:t xml:space="preserve"> </ns0:t>
      </ns0:r>
      <ns0:r>
        <ns0:t xml:space="preserve">scale, not independent replication.</ns0:t>
      </ns0:r>
    </ns0:p>
    <ns0:p>
      <ns0:pPr>
        <ns0:pStyle ns0:val="af"/>
      </ns0:pPr>
      <ns0:r>
        <ns0:t xml:space="preserve">The electrical-capacity-factor model tells a different story. Conditional on</ns0:t>
      </ns0:r>
      <ns0:r>
        <ns0:t xml:space="preserve"> </ns0:t>
      </ns0:r>
      <ns0:r>
        <ns0:t xml:space="preserve">processing scale, waste utilization, technology, furnace count, and fiscal</ns0:t>
      </ns0:r>
      <ns0:r>
        <ns0:t xml:space="preserve"> </ns0:t>
      </ns0:r>
      <ns0:r>
        <ns0:t xml:space="preserve">year, pre-1990 and 1990s capacity factors are 35.3% (95% CI 24.6%-46.8%) and</ns0:t>
      </ns0:r>
      <ns0:r>
        <ns0:t xml:space="preserve"> </ns0:t>
      </ns0:r>
      <ns0:r>
        <ns0:t xml:space="preserve">22.0% (14.4%-30.0%) higher than in the 2010-or-later cohort. The 2000s estimate</ns0:t>
      </ns0:r>
      <ns0:r>
        <ns0:t xml:space="preserve"> </ns0:t>
      </ns0:r>
      <ns0:r>
        <ns0:t xml:space="preserve">is 1.5% higher, with a CI from 4.1% lower to 7.4% higher. Waste</ns0:t>
      </ns0:r>
      <ns0:r>
        <ns0:t xml:space="preserve"> </ns0:t>
      </ns0:r>
      <ns0:r>
        <ns0:t xml:space="preserve">utilization is positively associated with log electrical capacity factor</ns0:t>
      </ns0:r>
      <ns0:r>
        <ns0:t xml:space="preserve"> </ns0:t>
      </ns0:r>
      <ns0:r>
        <ns0:t xml:space="preserve">(coefficient 1.695, 95% CI 1.448 to 1.942), while processing scale is negatively</ns0:t>
      </ns0:r>
      <ns0:r>
        <ns0:t xml:space="preserve"> </ns0:t>
      </ns0:r>
      <ns0:r>
        <ns0:t xml:space="preserve">associated (-0.116, 95% CI -0.162 to -0.070). This model explains 33.9% of log</ns0:t>
      </ns0:r>
      <ns0:r>
        <ns0:t xml:space="preserve"> </ns0:t>
      </ns0:r>
      <ns0:r>
        <ns0:t xml:space="preserve">capacity-factor variation. These coefficients describe annual use of installed</ns0:t>
      </ns0:r>
      <ns0:r>
        <ns0:t xml:space="preserve"> </ns0:t>
      </ns0:r>
      <ns0:r>
        <ns0:t xml:space="preserve">kW. They do not show that utilization has an independent positive association</ns0:t>
      </ns0:r>
      <ns0:r>
        <ns0:t xml:space="preserve"> </ns0:t>
      </ns0:r>
      <ns0:r>
        <ns0:t xml:space="preserve">with gross MWh/t after generator sizing is represented.</ns0:t>
      </ns0:r>
    </ns0:p>
    <ns0:p>
      <ns0:pPr>
        <ns0:pStyle ns0:val="af"/>
      </ns0:pPr>
      <ns0:r>
        <ns0:t xml:space="preserve">The common-control decomposition then provides a narrower accounting</ns0:t>
      </ns0:r>
      <ns0:r>
        <ns0:t xml:space="preserve"> </ns0:t>
      </ns0:r>
      <ns0:r>
        <ns0:t xml:space="preserve">reconciliation. Each row below uses the same 6,511 observations and the same cohort,</ns0:t>
      </ns0:r>
      <ns0:r>
        <ns0:t xml:space="preserve"> </ns0:t>
      </ns0:r>
      <ns0:r>
        <ns0:t xml:space="preserve">processing-scale, technology, furnace-count, and year controls. The three</ns0:t>
      </ns0:r>
      <ns0:r>
        <ns0:t xml:space="preserve"> </ns0:t>
      </ns0:r>
      <ns0:r>
        <ns0:t xml:space="preserve">component columns are log differences from the 2010-or-later cohort and sum</ns0:t>
      </ns0:r>
      <ns0:r>
        <ns0:t xml:space="preserve"> </ns0:t>
      </ns0:r>
      <ns0:r>
        <ns0:t xml:space="preserve">exactly to the directly fitted log gross-intensity difference.</ns0:t>
      </ns0:r>
    </ns0:p>
    <ns0:p>
      <ns0:pPr>
        <ns0:pStyle ns0:val="af"/>
      </ns0:pPr>
      <ns0:r>
        <ns0:rPr>
          <ns0:b/>
          <ns0:bCs/>
        </ns0:rPr>
        <ns0:t xml:space="preserve">Common-control cohort decomposition of log gross MWh/t</ns0:t>
      </ns0:r>
    </ns0:p>
    <ns0:tbl>
      <ns0:tblPr>
        <ns0:tblStyle ns0:val="Table"/>
        <ns0:tblW ns0:type="pct" ns0:w="5000"/>
        <ns0:tblLayout ns0:type="fixed"/>
        <ns0:tblLook ns0:firstRow="1" ns0:lastRow="0" ns0:firstColumn="0" ns0:lastColumn="0" ns0:noHBand="0" ns0:noVBand="0" ns0:val="0020"/>
      </ns0:tblPr>
      <ns0:tblGrid>
        <ns0:gridCol ns0:w="1584"/>
        <ns0:gridCol ns0:w="1584"/>
        <ns0:gridCol ns0:w="1584"/>
        <ns0:gridCol ns0:w="1584"/>
        <ns0:gridCol ns0:w="1584"/>
      </ns0:tblGrid>
      <ns0:tr>
        <ns0:trPr>
          <ns0:tblHeader ns0:val="on"/>
        </ns0:trPr>
        <ns0:tc>
          <ns0:tcPr/>
          <ns0:p>
            <ns0:pPr>
              <ns0:pStyle ns0:val="Compact"/>
              <ns0:jc ns0:val="left"/>
            </ns0:pPr>
            <ns0:r>
              <ns0:t xml:space="preserve">Cohort</ns0:t>
            </ns0:r>
          </ns0:p>
        </ns0:tc>
        <ns0:tc>
          <ns0:tcPr/>
          <ns0:p>
            <ns0:pPr>
              <ns0:pStyle ns0:val="Compact"/>
              <ns0:jc ns0:val="right"/>
            </ns0:pPr>
            <ns0:r>
              <ns0:t xml:space="preserve">Generator design</ns0:t>
            </ns0:r>
            <ns0:r>
              <ns0:t xml:space="preserve"> </ns0:t>
            </ns0:r>
            <ns5:oMath>
              <ns5:sSub>
                <ns5:e>
                  <ns5:r>
                    <ns5:t>γ</ns5:t>
                  </ns5:r>
                </ns5:e>
                <ns5:sub>
                  <ns5:r>
                    <ns5:t>D</ns5:t>
                  </ns5:r>
                </ns5:sub>
              </ns5:sSub>
            </ns5:oMath>
          </ns0:p>
        </ns0:tc>
        <ns0:tc>
          <ns0:tcPr/>
          <ns0:p>
            <ns0:pPr>
              <ns0:pStyle ns0:val="Compact"/>
              <ns0:jc ns0:val="right"/>
            </ns0:pPr>
            <ns0:r>
              <ns0:t xml:space="preserve">Capacity factor</ns0:t>
            </ns0:r>
            <ns0:r>
              <ns0:t xml:space="preserve"> </ns0:t>
            </ns0:r>
            <ns5:oMath>
              <ns5:sSub>
                <ns5:e>
                  <ns5:r>
                    <ns5:t>γ</ns5:t>
                  </ns5:r>
                </ns5:e>
                <ns5:sub>
                  <ns5:r>
                    <ns5:t>F</ns5:t>
                  </ns5:r>
                </ns5:sub>
              </ns5:sSub>
            </ns5:oMath>
          </ns0:p>
        </ns0:tc>
        <ns0:tc>
          <ns0:tcPr/>
          <ns0:p>
            <ns0:pPr>
              <ns0:pStyle ns0:val="Compact"/>
              <ns0:jc ns0:val="right"/>
            </ns0:pPr>
            <ns0:r>
              <ns0:t xml:space="preserve">Waste-loading contribution</ns0:t>
            </ns0:r>
            <ns0:r>
              <ns0:t xml:space="preserve"> </ns0:t>
            </ns0:r>
            <ns5:oMath>
              <ns5:r>
                <ns5:rPr>
                  <ns5:sty ns5:val="p"/>
                </ns5:rPr>
                <ns5:t>−</ns5:t>
              </ns5:r>
              <ns5:sSub>
                <ns5:e>
                  <ns5:r>
                    <ns5:t>γ</ns5:t>
                  </ns5:r>
                </ns5:e>
                <ns5:sub>
                  <ns5:r>
                    <ns5:t>U</ns5:t>
                  </ns5:r>
                </ns5:sub>
              </ns5:sSub>
            </ns5:oMath>
          </ns0:p>
        </ns0:tc>
        <ns0:tc>
          <ns0:tcPr/>
          <ns0:p>
            <ns0:pPr>
              <ns0:pStyle ns0:val="Compact"/>
              <ns0:jc ns0:val="right"/>
            </ns0:pPr>
            <ns0:r>
              <ns0:t xml:space="preserve">Sum/direct</ns0:t>
            </ns0:r>
            <ns0:r>
              <ns0:t xml:space="preserve"> </ns0:t>
            </ns0:r>
            <ns5:oMath>
              <ns5:sSub>
                <ns5:e>
                  <ns5:r>
                    <ns5:t>γ</ns5:t>
                  </ns5:r>
                </ns5:e>
                <ns5:sub>
                  <ns5:r>
                    <ns5:t>Y</ns5:t>
                  </ns5:r>
                </ns5:sub>
              </ns5:sSub>
            </ns5:oMath>
          </ns0:p>
        </ns0:tc>
      </ns0:tr>
      <ns0:tr>
        <ns0:tc>
          <ns0:tcPr/>
          <ns0:p>
            <ns0:pPr>
              <ns0:pStyle ns0:val="Compact"/>
              <ns0:jc ns0:val="left"/>
            </ns0:pPr>
            <ns0:r>
              <ns0:t xml:space="preserve">Before 1990</ns0:t>
            </ns0:r>
          </ns0:p>
        </ns0:tc>
        <ns0:tc>
          <ns0:tcPr/>
          <ns0:p>
            <ns0:pPr>
              <ns0:pStyle ns0:val="Compact"/>
              <ns0:jc ns0:val="right"/>
            </ns0:pPr>
            <ns0:r>
              <ns0:t xml:space="preserve">-1.565</ns0:t>
            </ns0:r>
          </ns0:p>
        </ns0:tc>
        <ns0:tc>
          <ns0:tcPr/>
          <ns0:p>
            <ns0:pPr>
              <ns0:pStyle ns0:val="Compact"/>
              <ns0:jc ns0:val="right"/>
            </ns0:pPr>
            <ns0:r>
              <ns0:t xml:space="preserve">+0.016</ns0:t>
            </ns0:r>
          </ns0:p>
        </ns0:tc>
        <ns0:tc>
          <ns0:tcPr/>
          <ns0:p>
            <ns0:pPr>
              <ns0:pStyle ns0:val="Compact"/>
              <ns0:jc ns0:val="right"/>
            </ns0:pPr>
            <ns0:r>
              <ns0:t xml:space="preserve">+0.299</ns0:t>
            </ns0:r>
          </ns0:p>
        </ns0:tc>
        <ns0:tc>
          <ns0:tcPr/>
          <ns0:p>
            <ns0:pPr>
              <ns0:pStyle ns0:val="Compact"/>
              <ns0:jc ns0:val="right"/>
            </ns0:pPr>
            <ns0:r>
              <ns0:t xml:space="preserve">-1.250</ns0:t>
            </ns0:r>
          </ns0:p>
        </ns0:tc>
      </ns0:tr>
      <ns0:tr>
        <ns0:tc>
          <ns0:tcPr/>
          <ns0:p>
            <ns0:pPr>
              <ns0:pStyle ns0:val="Compact"/>
              <ns0:jc ns0:val="left"/>
            </ns0:pPr>
            <ns0:r>
              <ns0:t xml:space="preserve">1990-1999</ns0:t>
            </ns0:r>
          </ns0:p>
        </ns0:tc>
        <ns0:tc>
          <ns0:tcPr/>
          <ns0:p>
            <ns0:pPr>
              <ns0:pStyle ns0:val="Compact"/>
              <ns0:jc ns0:val="right"/>
            </ns0:pPr>
            <ns0:r>
              <ns0:t xml:space="preserve">-0.883</ns0:t>
            </ns0:r>
          </ns0:p>
        </ns0:tc>
        <ns0:tc>
          <ns0:tcPr/>
          <ns0:p>
            <ns0:pPr>
              <ns0:pStyle ns0:val="Compact"/>
              <ns0:jc ns0:val="right"/>
            </ns0:pPr>
            <ns0:r>
              <ns0:t xml:space="preserve">+0.020</ns0:t>
            </ns0:r>
          </ns0:p>
        </ns0:tc>
        <ns0:tc>
          <ns0:tcPr/>
          <ns0:p>
            <ns0:pPr>
              <ns0:pStyle ns0:val="Compact"/>
              <ns0:jc ns0:val="right"/>
            </ns0:pPr>
            <ns0:r>
              <ns0:t xml:space="preserve">+0.172</ns0:t>
            </ns0:r>
          </ns0:p>
        </ns0:tc>
        <ns0:tc>
          <ns0:tcPr/>
          <ns0:p>
            <ns0:pPr>
              <ns0:pStyle ns0:val="Compact"/>
              <ns0:jc ns0:val="right"/>
            </ns0:pPr>
            <ns0:r>
              <ns0:t xml:space="preserve">-0.690</ns0:t>
            </ns0:r>
          </ns0:p>
        </ns0:tc>
      </ns0:tr>
      <ns0:tr>
        <ns0:tc>
          <ns0:tcPr/>
          <ns0:p>
            <ns0:pPr>
              <ns0:pStyle ns0:val="Compact"/>
              <ns0:jc ns0:val="left"/>
            </ns0:pPr>
            <ns0:r>
              <ns0:t xml:space="preserve">2000-2009</ns0:t>
            </ns0:r>
          </ns0:p>
        </ns0:tc>
        <ns0:tc>
          <ns0:tcPr/>
          <ns0:p>
            <ns0:pPr>
              <ns0:pStyle ns0:val="Compact"/>
              <ns0:jc ns0:val="right"/>
            </ns0:pPr>
            <ns0:r>
              <ns0:t xml:space="preserve">-0.267</ns0:t>
            </ns0:r>
          </ns0:p>
        </ns0:tc>
        <ns0:tc>
          <ns0:tcPr/>
          <ns0:p>
            <ns0:pPr>
              <ns0:pStyle ns0:val="Compact"/>
              <ns0:jc ns0:val="right"/>
            </ns0:pPr>
            <ns0:r>
              <ns0:t xml:space="preserve">-0.094</ns0:t>
            </ns0:r>
          </ns0:p>
        </ns0:tc>
        <ns0:tc>
          <ns0:tcPr/>
          <ns0:p>
            <ns0:pPr>
              <ns0:pStyle ns0:val="Compact"/>
              <ns0:jc ns0:val="right"/>
            </ns0:pPr>
            <ns0:r>
              <ns0:t xml:space="preserve">+0.089</ns0:t>
            </ns0:r>
          </ns0:p>
        </ns0:tc>
        <ns0:tc>
          <ns0:tcPr/>
          <ns0:p>
            <ns0:pPr>
              <ns0:pStyle ns0:val="Compact"/>
              <ns0:jc ns0:val="right"/>
            </ns0:pPr>
            <ns0:r>
              <ns0:t xml:space="preserve">-0.272</ns0:t>
            </ns0:r>
          </ns0:p>
        </ns0:tc>
      </ns0:tr>
    </ns0:tbl>
    <ns0:p>
      <ns0:pPr>
        <ns0:pStyle ns0:val="af"/>
      </ns0:pPr>
      <ns0:r>
        <ns0:t xml:space="preserve">Installed sizing is the largest absolute point-estimate accounting component in every older</ns0:t>
      </ns0:r>
      <ns0:r>
        <ns0:t xml:space="preserve"> </ns0:t>
      </ns0:r>
      <ns0:r>
        <ns0:t xml:space="preserve">cohort. For</ns0:t>
      </ns0:r>
      <ns0:r>
        <ns0:t xml:space="preserve"> </ns0:t>
      </ns0:r>
      <ns0:r>
        <ns0:t xml:space="preserve">the pre-1990 and 1990s cohorts, common-control capacity-factor differences are</ns0:t>
      </ns0:r>
      <ns0:r>
        <ns0:t xml:space="preserve"> </ns0:t>
      </ns0:r>
      <ns0:r>
        <ns0:t xml:space="preserve">near zero; their positive capacity-factor coefficients of 0.302 and 0.198 in</ns0:t>
      </ns0:r>
      <ns0:r>
        <ns0:t xml:space="preserve"> </ns0:t>
      </ns0:r>
      <ns0:r>
        <ns0:t xml:space="preserve">the primary model arise after conditioning on waste utilization and answer a</ns0:t>
      </ns0:r>
      <ns0:r>
        <ns0:t xml:space="preserve"> </ns0:t>
      </ns0:r>
      <ns0:r>
        <ns0:t xml:space="preserve">different equal-utilization question. For the 2000s cohort, both smaller sizing</ns0:t>
      </ns0:r>
      <ns0:r>
        <ns0:t xml:space="preserve"> </ns0:t>
      </ns0:r>
      <ns0:r>
        <ns0:t xml:space="preserve">and a lower common-control capacity factor contribute. Excluding all 14</ns0:t>
      </ns0:r>
      <ns0:r>
        <ns0:t xml:space="preserve"> </ns0:t>
      </ns0:r>
      <ns0:r>
        <ns0:t xml:space="preserve">cohort-switching lineages leaves 6,291 rows across 479 lineages and produces</ns0:t>
      </ns0:r>
      <ns0:r>
        <ns0:t xml:space="preserve"> </ns0:t>
      </ns0:r>
      <ns0:r>
        <ns0:t xml:space="preserve">the same ordering, with direct log gaps of -1.306, -0.702, and -0.280. These</ns0:t>
      </ns0:r>
      <ns0:r>
        <ns0:t xml:space="preserve"> </ns0:t>
      </ns0:r>
      <ns0:r>
        <ns0:t xml:space="preserve">exact conditional sums are accounting attribution, not causal mediation.</ns0:t>
      </ns0:r>
    </ns0:p>
    <ns0:p>
      <ns0:pPr>
        <ns0:pStyle ns0:val="CaptionedFigure"/>
      </ns0:pPr>
      <ns0:r>
        <ns0:drawing>
          <ns1:inline>
            <ns1:extent cx="4128561" cy="5275384"/>
            <ns1:effectExtent b="0" l="0" r="0" t="0"/>
            <ns1:docPr descr="Figure 4. Reported facility start-year cohort evidence for 6,511 engineering-valid facility-years from 493 administrative lineages. Panels A and B show adjusted percentage differences from the 2010-or-later cohort in installed electrical capacity and annual electrical capacity factor; bars are lineage-clustered 95% confidence intervals. Panel C uses the same sample and common controls to reconcile the direct log gross-MWh/t gap into generator design, capacity-factor, and waste-loading components. Those components sum by an exact accounting identity and do not estimate causal mediation. Reported facility start year is not a verified generator-installation date." title="" id="47" name="Picture"/>
            <ns2:graphic>
              <ns2:graphicData uri="http://schemas.openxmlformats.org/drawingml/2006/picture">
                <ns3:pic>
                  <ns3:nvPicPr>
                    <ns3:cNvPr descr="../../figures/thesis_cohort_components.png" id="48" name="Picture"/>
                    <ns3:cNvPicPr>
                      <ns2:picLocks noChangeArrowheads="1" noChangeAspect="1"/>
                    </ns3:cNvPicPr>
                  </ns3:nvPicPr>
                  <ns3:blipFill>
                    <ns2:blip ns4:embed="rId46"/>
                    <ns2:stretch>
                      <ns2:fillRect/>
                    </ns2:stretch>
                  </ns3:blipFill>
                  <ns3:spPr bwMode="auto">
                    <ns2:xfrm>
                      <ns2:off x="0" y="0"/>
                      <ns2:ext cx="4128561" cy="5275384"/>
                    </ns2:xfrm>
                    <ns2:prstGeom prst="rect">
                      <ns2:avLst/>
                    </ns2:prstGeom>
                    <ns2:noFill/>
                    <ns2:ln w="9525">
                      <ns2:noFill/>
                      <ns2:headEnd/>
                      <ns2:tailEnd/>
                    </ns2:ln>
                  </ns3:spPr>
                </ns3:pic>
              </ns2:graphicData>
            </ns2:graphic>
          </ns1:inline>
        </ns0:drawing>
      </ns0:r>
    </ns0:p>
    <ns0:p>
      <ns0:pPr>
        <ns0:pStyle ns0:val="ImageCaption"/>
      </ns0:pPr>
      <ns0:r>
        <ns0:t xml:space="preserve">Figure 4. Reported facility start-year cohort evidence for 6,511 engineering-valid facility-years from 493 administrative lineages. Panels A and B show adjusted percentage differences from the 2010-or-later cohort in installed electrical capacity and annual electrical capacity factor; bars are lineage-clustered 95% confidence intervals. Panel C uses the same sample and common controls to reconcile the direct log gross-MWh/t gap into generator design, capacity-factor, and waste-loading components. Those components sum by an exact accounting identity and do not estimate causal mediation. Reported facility start year is not a verified generator-installation date.</ns0:t>
      </ns0:r>
    </ns0:p>
    <ns0:p>
      <ns0:pPr>
        <ns0:pStyle ns0:val="af"/>
      </ns0:pPr>
      <ns0:r>
        <ns0:t xml:space="preserve">The direct gross-output model is consistent with the component structure. The</ns0:t>
      </ns0:r>
      <ns0:r>
        <ns0:t xml:space="preserve"> </ns0:t>
      </ns0:r>
      <ns0:r>
        <ns0:t xml:space="preserve">elasticity of annual gross MWh with respect to throughput is 0.638 (95% CI 0.536</ns0:t>
      </ns0:r>
      <ns0:r>
        <ns0:t xml:space="preserve"> </ns0:t>
      </ns0:r>
      <ns0:r>
        <ns0:t xml:space="preserve">to 0.740), and the elasticity with respect to installed electrical capacity is</ns0:t>
      </ns0:r>
      <ns0:r>
        <ns0:t xml:space="preserve"> </ns0:t>
      </ns0:r>
      <ns0:r>
        <ns0:t xml:space="preserve">0.576 (95% CI 0.502 to 0.650), conditional on cohort, observed technology,</ns0:t>
      </ns0:r>
      <ns0:r>
        <ns0:t xml:space="preserve"> </ns0:t>
      </ns0:r>
      <ns0:r>
        <ns0:t xml:space="preserve">furnace count, and year. The model</ns0:t>
      </ns0:r>
      <ns0:r>
        <ns0:t xml:space="preserve"> </ns0:t>
      </ns0:r>
      <ns5:oMath>
        <ns5:sSup>
          <ns5:e>
            <ns5:r>
              <ns5:t>R</ns5:t>
            </ns5:r>
          </ns5:e>
          <ns5:sup>
            <ns5:r>
              <ns5:t>2</ns5:t>
            </ns5:r>
          </ns5:sup>
        </ns5:sSup>
      </ns5:oMath>
      <ns0:r>
        <ns0:t xml:space="preserve"> </ns0:t>
      </ns0:r>
      <ns0:r>
        <ns0:t xml:space="preserve">is 0.914. It shows that both waste</ns0:t>
      </ns0:r>
      <ns0:r>
        <ns0:t xml:space="preserve"> </ns0:t>
      </ns0:r>
      <ns0:r>
        <ns0:t xml:space="preserve">loading and installed kW are associated with annual output, but it is not a production</ns0:t>
      </ns0:r>
      <ns0:r>
        <ns0:t xml:space="preserve"> </ns0:t>
      </ns0:r>
      <ns0:r>
        <ns0:t xml:space="preserve">function with exogenous inputs.</ns0:t>
      </ns0:r>
    </ns0:p>
    <ns0:p>
      <ns0:pPr>
        <ns0:pStyle ns0:val="af"/>
      </ns0:pPr>
      <ns0:r>
        <ns0:t xml:space="preserve">An accounting-consistency diagnostic compares gross-intensity specifications on</ns0:t>
      </ns0:r>
      <ns0:r>
        <ns0:t xml:space="preserve"> </ns0:t>
      </ns0:r>
      <ns0:r>
        <ns0:t xml:space="preserve">the 5,806-row plausible-heating-value subset. In the</ns0:t>
      </ns0:r>
      <ns0:r>
        <ns0:t xml:space="preserve"> </ns0:t>
      </ns0:r>
      <ns0:r>
        <ns0:t xml:space="preserve">baseline model without generator design intensity, the reported-age</ns0:t>
      </ns0:r>
      <ns0:r>
        <ns0:t xml:space="preserve"> </ns0:t>
      </ns0:r>
      <ns0:r>
        <ns0:t xml:space="preserve">coefficient is -0.0349, the processing-capacity coefficient is 0.1001, and the</ns0:t>
      </ns0:r>
      <ns0:r>
        <ns0:t xml:space="preserve"> </ns0:t>
      </ns0:r>
      <ns0:r>
        <ns0:t xml:space="preserve">waste-utilization coefficient is 0.6699; all have</ns0:t>
      </ns0:r>
      <ns0:r>
        <ns0:t xml:space="preserve"> </ns0:t>
      </ns0:r>
      <ns0:r>
        <ns0:rPr>
          <ns0:i/>
          <ns0:iCs/>
        </ns0:rPr>
        <ns0:t xml:space="preserve">p</ns0:t>
      </ns0:r>
      <ns0:r>
        <ns0:t xml:space="preserve">&lt;0.001. After adding log</ns0:t>
      </ns0:r>
      <ns0:r>
        <ns0:t xml:space="preserve"> </ns0:t>
      </ns0:r>
      <ns0:r>
        <ns0:t xml:space="preserve">generator design intensity, the corresponding coefficients become -0.0020</ns0:t>
      </ns0:r>
      <ns0:r>
        <ns0:t xml:space="preserve"> </ns0:t>
      </ns0:r>
      <ns0:r>
        <ns0:t xml:space="preserve">(</ns0:t>
      </ns0:r>
      <ns0:r>
        <ns0:rPr>
          <ns0:i/>
          <ns0:iCs/>
        </ns0:rPr>
        <ns0:t xml:space="preserve">p</ns0:t>
      </ns0:r>
      <ns0:r>
        <ns0:t xml:space="preserve">=0.2977), -0.0092 (</ns0:t>
      </ns0:r>
      <ns0:r>
        <ns0:rPr>
          <ns0:i/>
          <ns0:iCs/>
        </ns0:rPr>
        <ns0:t xml:space="preserve">p</ns0:t>
      </ns0:r>
      <ns0:r>
        <ns0:t xml:space="preserve">=0.1991), and -0.0995 (</ns0:t>
      </ns0:r>
      <ns0:r>
        <ns0:rPr>
          <ns0:i/>
          <ns0:iCs/>
        </ns0:rPr>
        <ns0:t xml:space="preserve">p</ns0:t>
      </ns0:r>
      <ns0:r>
        <ns0:t xml:space="preserve">=0.2038). The sizing coefficient</ns0:t>
      </ns0:r>
      <ns0:r>
        <ns0:t xml:space="preserve"> </ns0:t>
      </ns0:r>
      <ns0:r>
        <ns0:t xml:space="preserve">is 0.7532 (</ns0:t>
      </ns0:r>
      <ns0:r>
        <ns0:rPr>
          <ns0:i/>
          <ns0:iCs/>
        </ns0:rPr>
        <ns0:t xml:space="preserve">p</ns0:t>
      </ns0:r>
      <ns0:r>
        <ns0:t xml:space="preserve">&lt;0.001), and model</ns0:t>
      </ns0:r>
      <ns0:r>
        <ns0:t xml:space="preserve"> </ns0:t>
      </ns0:r>
      <ns5:oMath>
        <ns5:sSup>
          <ns5:e>
            <ns5:r>
              <ns5:t>R</ns5:t>
            </ns5:r>
          </ns5:e>
          <ns5:sup>
            <ns5:r>
              <ns5:t>2</ns5:t>
            </ns5:r>
          </ns5:sup>
        </ns5:sSup>
      </ns5:oMath>
      <ns0:r>
        <ns0:t xml:space="preserve"> </ns0:t>
      </ns0:r>
      <ns0:r>
        <ns0:t xml:space="preserve">rises from 0.4737 to 0.8131. This is not a</ns0:t>
      </ns0:r>
      <ns0:r>
        <ns0:t xml:space="preserve"> </ns0:t>
      </ns0:r>
      <ns0:r>
        <ns0:t xml:space="preserve">causal decomposition, and the R-squared increase is partly expected because</ns0:t>
      </ns0:r>
      <ns0:r>
        <ns0:t xml:space="preserve"> </ns0:t>
      </ns0:r>
      <ns0:r>
        <ns0:t xml:space="preserve">design intensity is algebraically related to gross MWh/t. The diagnostic shows</ns0:t>
      </ns0:r>
      <ns0:r>
        <ns0:t xml:space="preserve"> </ns0:t>
      </ns0:r>
      <ns0:r>
        <ns0:t xml:space="preserve">that the former age, scale, and utilization interpretation is sensitive to</ns0:t>
      </ns0:r>
      <ns0:r>
        <ns0:t xml:space="preserve"> </ns0:t>
      </ns0:r>
      <ns0:r>
        <ns0:t xml:space="preserve">whether installed generator sizing is represented; it does not independently</ns0:t>
      </ns0:r>
      <ns0:r>
        <ns0:t xml:space="preserve"> </ns0:t>
      </ns0:r>
      <ns0:r>
        <ns0:t xml:space="preserve">prove that sizing causes the cohort pattern.</ns0:t>
      </ns0:r>
    </ns0:p>
    <ns0:p>
      <ns0:pPr>
        <ns0:pStyle ns0:val="af"/>
      </ns0:pPr>
      <ns0:r>
        <ns0:t xml:space="preserve">Adjacent-year rank persistence is highest for generator design intensity:</ns0:t>
      </ns0:r>
      <ns0:r>
        <ns0:t xml:space="preserve"> </ns0:t>
      </ns0:r>
      <ns0:r>
        <ns0:t xml:space="preserve">0.995 across 5,963 pairs from 470 lineages. Gross-intensity rank persistence is</ns0:t>
      </ns0:r>
      <ns0:r>
        <ns0:t xml:space="preserve"> </ns0:t>
      </ns0:r>
      <ns0:r>
        <ns0:t xml:space="preserve">0.961 and capacity-factor persistence is 0.873. The corresponding within-to-total</ns0:t>
      </ns0:r>
      <ns0:r>
        <ns0:t xml:space="preserve"> </ns0:t>
      </ns0:r>
      <ns0:r>
        <ns0:t xml:space="preserve">variance ratios are 0.016 for log design intensity, 0.089 for log gross</ns0:t>
      </ns0:r>
      <ns0:r>
        <ns0:t xml:space="preserve"> </ns0:t>
      </ns0:r>
      <ns0:r>
        <ns0:t xml:space="preserve">intensity, and 0.426 for log capacity factor. Sizing is therefore mostly a</ns0:t>
      </ns0:r>
      <ns0:r>
        <ns0:t xml:space="preserve"> </ns0:t>
      </ns0:r>
      <ns0:r>
        <ns0:t xml:space="preserve">between-asset design attribute, while annual capacity factor contains much more</ns0:t>
      </ns0:r>
      <ns0:r>
        <ns0:t xml:space="preserve"> </ns0:t>
      </ns0:r>
      <ns0:r>
        <ns0:t xml:space="preserve">within-asset movement.</ns0:t>
      </ns0:r>
    </ns0:p>
    <ns0:p>
      <ns0:pPr>
        <ns0:pStyle ns0:val="af"/>
      </ns0:pPr>
      <ns0:r>
        <ns0:t xml:space="preserve">The principal component conclusions remain stable across the two ten-year</ns0:t>
      </ns0:r>
      <ns0:r>
        <ns0:t xml:space="preserve"> </ns0:t>
      </ns0:r>
      <ns0:r>
        <ns0:t xml:space="preserve">windows, lineage-equal weighting, and conservative or broad engineering bounds.</ns0:t>
      </ns0:r>
      <ns0:r>
        <ns0:t xml:space="preserve"> </ns0:t>
      </ns0:r>
      <ns0:r>
        <ns0:t xml:space="preserve">For example, the processing-scale coefficient in the design-intensity model is</ns0:t>
      </ns0:r>
      <ns0:r>
        <ns0:t xml:space="preserve"> </ns0:t>
      </ns0:r>
      <ns0:r>
        <ns0:t xml:space="preserve">0.474 in FY2005-FY2014 and 0.577 in FY2015-FY2024; it is 0.520 under conservative</ns0:t>
      </ns0:r>
      <ns0:r>
        <ns0:t xml:space="preserve"> </ns0:t>
      </ns0:r>
      <ns0:r>
        <ns0:t xml:space="preserve">bounds and 0.536 under broad bounds. Excluding every identity-uncertain lineage</ns0:t>
      </ns0:r>
      <ns0:r>
        <ns0:t xml:space="preserve"> </ns0:t>
      </ns0:r>
      <ns0:r>
        <ns0:t xml:space="preserve">leaves 6,450 rows across 487 lineages and gives a nearly unchanged coefficient</ns0:t>
      </ns0:r>
      <ns0:r>
        <ns0:t xml:space="preserve"> </ns0:t>
      </ns0:r>
      <ns0:r>
        <ns0:t xml:space="preserve">of 0.533. Within-asset-episode models also retain a</ns0:t>
      </ns0:r>
      <ns0:r>
        <ns0:t xml:space="preserve"> </ns0:t>
      </ns0:r>
      <ns0:r>
        <ns0:t xml:space="preserve">positive association between utilization and electrical capacity factor. Those</ns0:t>
      </ns0:r>
      <ns0:r>
        <ns0:t xml:space="preserve"> </ns0:t>
      </ns0:r>
      <ns0:r>
        <ns0:t xml:space="preserve">checks strengthen the component description but do not resolve simultaneous</ns0:t>
      </ns0:r>
      <ns0:r>
        <ns0:t xml:space="preserve"> </ns0:t>
      </ns0:r>
      <ns0:r>
        <ns0:t xml:space="preserve">changes in throughput, maintenance, installed capacity, and output.</ns0:t>
      </ns0:r>
    </ns0:p>
    <ns0:bookmarkEnd ns0:id="49"/>
    <ns0:bookmarkEnd ns0:id="50"/>
    <ns0:bookmarkStart ns0:id="55" ns0:name="discussion"/>
    <ns0:p>
      <ns0:pPr>
        <ns0:pStyle ns0:val="1"/>
      </ns0:pPr>
      <ns0:r>
        <ns0:t xml:space="preserve">5. Discussion</ns0:t>
      </ns0:r>
    </ns0:p>
    <ns0:bookmarkStart ns0:id="51" ns0:name="X36c0a6be1dcbf683bc65788f9382dd9717e1321"/>
    <ns0:p>
      <ns0:pPr>
        <ns0:pStyle ns0:val="21"/>
      </ns0:pPr>
      <ns0:r>
        <ns0:t xml:space="preserve">5.1 What the thesis changes in the fleet narrative</ns0:t>
      </ns0:r>
    </ns0:p>
    <ns0:p>
      <ns0:pPr>
        <ns0:pStyle ns0:val="FirstParagraph"/>
      </ns0:pPr>
      <ns0:r>
        <ns0:t xml:space="preserve">Each analytical margin corrects a different intuitive but incomplete reading of</ns0:t>
      </ns0:r>
      <ns0:r>
        <ns0:t xml:space="preserve"> </ns0:t>
      </ns0:r>
      <ns0:r>
        <ns0:t xml:space="preserve">the fleet. The table below separates the tempting interpretation from the</ns0:t>
      </ns0:r>
      <ns0:r>
        <ns0:t xml:space="preserve"> </ns0:t>
      </ns0:r>
      <ns0:r>
        <ns0:t xml:space="preserve">strongest statement supported by the evidence.</ns0:t>
      </ns0:r>
    </ns0:p>
    <ns0:tbl>
      <ns0:tblPr>
        <ns0:tblStyle ns0:val="Table"/>
        <ns0:tblW ns0:type="pct" ns0:w="5000"/>
        <ns0:tblLayout ns0:type="fixed"/>
        <ns0:tblLook ns0:firstRow="1" ns0:lastRow="0" ns0:firstColumn="0" ns0:lastColumn="0" ns0:noHBand="0" ns0:noVBand="0" ns0:val="0020"/>
      </ns0:tblPr>
      <ns0:tblGrid>
        <ns0:gridCol ns0:w="2640"/>
        <ns0:gridCol ns0:w="2640"/>
        <ns0:gridCol ns0:w="2640"/>
      </ns0:tblGrid>
      <ns0:tr>
        <ns0:trPr>
          <ns0:tblHeader ns0:val="on"/>
        </ns0:trPr>
        <ns0:tc>
          <ns0:tcPr/>
          <ns0:p>
            <ns0:pPr>
              <ns0:pStyle ns0:val="Compact"/>
              <ns0:jc ns0:val="left"/>
            </ns0:pPr>
            <ns0:r>
              <ns0:t xml:space="preserve">Common reading</ns0:t>
            </ns0:r>
          </ns0:p>
        </ns0:tc>
        <ns0:tc>
          <ns0:tcPr/>
          <ns0:p>
            <ns0:pPr>
              <ns0:pStyle ns0:val="Compact"/>
              <ns0:jc ns0:val="left"/>
            </ns0:pPr>
            <ns0:r>
              <ns0:t xml:space="preserve">Evidence-based correction</ns0:t>
            </ns0:r>
          </ns0:p>
        </ns0:tc>
        <ns0:tc>
          <ns0:tcPr/>
          <ns0:p>
            <ns0:pPr>
              <ns0:pStyle ns0:val="Compact"/>
              <ns0:jc ns0:val="left"/>
            </ns0:pPr>
            <ns0:r>
              <ns0:t xml:space="preserve">Defensible interpretation</ns0:t>
            </ns0:r>
          </ns0:p>
        </ns0:tc>
      </ns0:tr>
      <ns0:tr>
        <ns0:tc>
          <ns0:tcPr/>
          <ns0:p>
            <ns0:pPr>
              <ns0:pStyle ns0:val="Compact"/>
              <ns0:jc ns0:val="left"/>
            </ns0:pPr>
            <ns0:r>
              <ns0:t xml:space="preserve">“Only about 41% generate, so electricity recovery reaches little waste.”</ns0:t>
            </ns0:r>
          </ns0:p>
        </ns0:tc>
        <ns0:tc>
          <ns0:tcPr/>
          <ns0:p>
            <ns0:pPr>
              <ns0:pStyle ns0:val="Compact"/>
              <ns0:jc ns0:val="left"/>
            </ns0:pPr>
            <ns0:r>
              <ns0:t xml:space="preserve">Positive-output facilities handle 80.1% of recorded throughput, while installed-capacity facilities represent 70.5% of design capacity.</ns0:t>
            </ns0:r>
          </ns0:p>
        </ns0:tc>
        <ns0:tc>
          <ns0:tcPr/>
          <ns0:p>
            <ns0:pPr>
              <ns0:pStyle ns0:val="Compact"/>
              <ns0:jc ns0:val="left"/>
            </ns0:pPr>
            <ns0:r>
              <ns0:t xml:space="preserve">Record prevalence is incomplete, but generation is concentrated in larger or more active parts of the observed fleet.</ns0:t>
            </ns0:r>
          </ns0:p>
        </ns0:tc>
      </ns0:tr>
      <ns0:tr>
        <ns0:tc>
          <ns0:tcPr/>
          <ns0:p>
            <ns0:pPr>
              <ns0:pStyle ns0:val="Compact"/>
              <ns0:jc ns0:val="left"/>
            </ns0:pPr>
            <ns0:r>
              <ns0:t xml:space="preserve">“The 19.50-point rise means widespread retrofit of incumbent facilities.”</ns0:t>
            </ns0:r>
          </ns0:p>
        </ns0:tc>
        <ns0:tc>
          <ns0:tcPr/>
          <ns0:p>
            <ns0:pPr>
              <ns0:pStyle ns0:val="Compact"/>
              <ns0:jc ns0:val="left"/>
            </ns0:pPr>
            <ns0:r>
              <ns0:t xml:space="preserve">The rise is 2.19 points among 732 lineages observed at both endpoints.</ns0:t>
            </ns0:r>
          </ns0:p>
        </ns0:tc>
        <ns0:tc>
          <ns0:tcPr/>
          <ns0:p>
            <ns0:pPr>
              <ns0:pStyle ns0:val="Compact"/>
              <ns0:jc ns0:val="left"/>
            </ns0:pPr>
            <ns0:r>
              <ns0:t xml:space="preserve">Changing observed fleet composition is substantial, but the endpoint groups do not provide a formal additive decomposition or verify retrofit projects.</ns0:t>
            </ns0:r>
          </ns0:p>
        </ns0:tc>
      </ns0:tr>
      <ns0:tr>
        <ns0:tc>
          <ns0:tcPr/>
          <ns0:p>
            <ns0:pPr>
              <ns0:pStyle ns0:val="Compact"/>
              <ns0:jc ns0:val="left"/>
            </ns0:pPr>
            <ns0:r>
              <ns0:t xml:space="preserve">“Newer cohorts are simply more efficient.”</ns0:t>
            </ns0:r>
          </ns0:p>
        </ns0:tc>
        <ns0:tc>
          <ns0:tcPr/>
          <ns0:p>
            <ns0:pPr>
              <ns0:pStyle ns0:val="Compact"/>
              <ns0:jc ns0:val="left"/>
            </ns0:pPr>
            <ns0:r>
              <ns0:t xml:space="preserve">Older cohorts have much smaller adjusted installed kW, but not uniformly lower capacity factors; sizing is the largest absolute point-estimate accounting component of each log intensity gap.</ns0:t>
            </ns0:r>
          </ns0:p>
        </ns0:tc>
        <ns0:tc>
          <ns0:tcPr/>
          <ns0:p>
            <ns0:pPr>
              <ns0:pStyle ns0:val="Compact"/>
              <ns0:jc ns0:val="left"/>
            </ns0:pPr>
            <ns0:r>
              <ns0:t xml:space="preserve">Gross MWh/t combines installed sizing, annual capacity use, and waste loading; the component identity is descriptive, not causal.</ns0:t>
            </ns0:r>
          </ns0:p>
        </ns0:tc>
      </ns0:tr>
    </ns0:tbl>
    <ns0:p>
      <ns0:pPr>
        <ns0:pStyle ns0:val="af"/>
      </ns0:pPr>
      <ns0:r>
        <ns0:t xml:space="preserve">The transition model adds a separate correction. Processing scale is positively</ns0:t>
      </ns0:r>
      <ns0:r>
        <ns0:t xml:space="preserve"> </ns0:t>
      </ns0:r>
      <ns0:r>
        <ns0:t xml:space="preserve">associated with first reported entry in the primary model and all sensitivity</ns0:t>
      </ns0:r>
      <ns0:r>
        <ns0:t xml:space="preserve"> </ns0:t>
      </ns0:r>
      <ns0:r>
        <ns0:t xml:space="preserve">frames, but the model does not show that enlarging a facility would cause entry.</ns0:t>
      </ns0:r>
      <ns0:r>
        <ns0:t xml:space="preserve"> </ns0:t>
      </ns0:r>
      <ns0:r>
        <ns0:t xml:space="preserve">Scale can represent unobserved municipal, technical, and financial conditions.</ns0:t>
      </ns0:r>
      <ns0:r>
        <ns0:t xml:space="preserve"> </ns0:t>
      </ns0:r>
      <ns0:r>
        <ns0:t xml:space="preserve">Age is continuity-sensitive and therefore cannot support a simple age-only rule.</ns0:t>
      </ns0:r>
    </ns0:p>
    <ns0:bookmarkEnd ns0:id="51"/>
    <ns0:bookmarkStart ns0:id="52" ns0:name="direct-answers-to-the-research-questions"/>
    <ns0:p>
      <ns0:pPr>
        <ns0:pStyle ns0:val="21"/>
      </ns0:pPr>
      <ns0:r>
        <ns0:t xml:space="preserve">5.2 Direct answers to the research questions</ns0:t>
      </ns0:r>
    </ns0:p>
    <ns0:p>
      <ns0:pPr>
        <ns0:pStyle ns0:val="FirstParagraph"/>
      </ns0:pPr>
      <ns0:r>
        <ns0:rPr>
          <ns0:b/>
          <ns0:bCs/>
        </ns0:rPr>
        <ns0:t xml:space="preserve">RQ1 is answered by matched state and denominator contrasts, not by one</ns0:t>
      </ns0:r>
      <ns0:r>
        <ns0:rPr>
          <ns0:b/>
          <ns0:bCs/>
        </ns0:rPr>
        <ns0:t xml:space="preserve"> </ns0:t>
      </ns0:r>
      <ns0:r>
        <ns0:rPr>
          <ns0:b/>
          <ns0:bCs/>
        </ns0:rPr>
        <ns0:t xml:space="preserve">preferred percentage.</ns0:t>
      </ns0:r>
      <ns0:r>
        <ns0:t xml:space="preserve"> </ns0:t>
      </ns0:r>
      <ns0:r>
        <ns0:t xml:space="preserve">In FY2024, positive-output facilities handle 80.1% of</ns0:t>
      </ns0:r>
      <ns0:r>
        <ns0:t xml:space="preserve"> </ns0:t>
      </ns0:r>
      <ns0:r>
        <ns0:t xml:space="preserve">recorded throughput and installed-capacity facilities hold 70.5% of processing</ns0:t>
      </ns0:r>
      <ns0:r>
        <ns0:t xml:space="preserve"> </ns0:t>
      </ns0:r>
      <ns0:r>
        <ns0:t xml:space="preserve">design capacity, despite installed capacity appearing in only 41.1% of all</ns0:t>
      </ns0:r>
      <ns0:r>
        <ns0:t xml:space="preserve"> </ns0:t>
      </ns0:r>
      <ns0:r>
        <ns0:t xml:space="preserve">records. Generation is therefore concentrated in larger or more heavily used</ns0:t>
      </ns0:r>
      <ns0:r>
        <ns0:t xml:space="preserve"> </ns0:t>
      </ns0:r>
      <ns0:r>
        <ns0:t xml:space="preserve">parts of the observed fleet. The contrast does not mean that 80.1% of waste</ns0:t>
      </ns0:r>
      <ns0:r>
        <ns0:t xml:space="preserve"> </ns0:t>
      </ns0:r>
      <ns0:r>
        <ns0:t xml:space="preserve">becomes electricity or that the covered facilities are environmentally optimal.</ns0:t>
      </ns0:r>
      <ns0:r>
        <ns0:t xml:space="preserve"> </ns0:t>
      </ns0:r>
      <ns0:r>
        <ns0:t xml:space="preserve">It also separates prevalence from incumbent diffusion: the all-record endpoint</ns0:t>
      </ns0:r>
      <ns0:r>
        <ns0:t xml:space="preserve"> </ns0:t>
      </ns0:r>
      <ns0:r>
        <ns0:t xml:space="preserve">increase is 19.50 percentage points, compared with 2.19 points among 732</ns0:t>
      </ns0:r>
      <ns0:r>
        <ns0:t xml:space="preserve"> </ns0:t>
      </ns0:r>
      <ns0:r>
        <ns0:t xml:space="preserve">lineages observed in both endpoint years.</ns0:t>
      </ns0:r>
    </ns0:p>
    <ns0:p>
      <ns0:pPr>
        <ns0:pStyle ns0:val="af"/>
      </ns0:pPr>
      <ns0:r>
        <ns0:rPr>
          <ns0:b/>
          <ns0:bCs/>
        </ns0:rPr>
        <ns0:t xml:space="preserve">RQ2 is answered by a scale association stable across the reported sensitivity</ns0:t>
      </ns0:r>
      <ns0:r>
        <ns0:rPr>
          <ns0:b/>
          <ns0:bCs/>
        </ns0:rPr>
        <ns0:t xml:space="preserve"> </ns0:t>
      </ns0:r>
      <ns0:r>
        <ns0:rPr>
          <ns0:b/>
          <ns0:bCs/>
        </ns0:rPr>
        <ns0:t xml:space="preserve">analyses and a continuity-sensitive age association.</ns0:t>
      </ns0:r>
      <ns0:r>
        <ns0:t xml:space="preserve"> </ns0:t>
      </ns0:r>
      <ns0:r>
        <ns0:t xml:space="preserve">In the support-rich</ns0:t>
      </ns0:r>
      <ns0:r>
        <ns0:t xml:space="preserve"> </ns0:t>
      </ns0:r>
      <ns0:r>
        <ns0:t xml:space="preserve">24-120 t/day range, standardized annual predictions rise from 0.68 to 3.29</ns0:t>
      </ns0:r>
      <ns0:r>
        <ns0:t xml:space="preserve"> </ns0:t>
      </ns0:r>
      <ns0:r>
        <ns0:t xml:space="preserve">entries per 1,000 facility-years. The primary 300-versus-100 t/day odds</ns0:t>
      </ns0:r>
      <ns0:r>
        <ns0:t xml:space="preserve"> </ns0:t>
      </ns0:r>
      <ns0:r>
        <ns0:t xml:space="preserve">ratio is 6.72, and the consolidated specification audit shows that the positive</ns0:t>
      </ns0:r>
      <ns0:r>
        <ns0:t xml:space="preserve"> </ns0:t>
      </ns0:r>
      <ns0:r>
        <ns0:t xml:space="preserve">scale gradient survives the continuity, functional-form, reporting-state,</ns0:t>
      </ns0:r>
      <ns0:r>
        <ns0:t xml:space="preserve"> </ns0:t>
      </ns0:r>
      <ns0:r>
        <ns0:t xml:space="preserve">geographic, and event-influence checks. The 300-t/day prediction is nevertheless</ns0:t>
      </ns0:r>
      <ns0:r>
        <ns0:t xml:space="preserve"> </ns0:t>
      </ns0:r>
      <ns0:r>
        <ns0:t xml:space="preserve">a tail contrast, supported by 315 risk rows and four events at or above that</ns0:t>
      </ns0:r>
      <ns0:r>
        <ns0:t xml:space="preserve"> </ns0:t>
      </ns0:r>
      <ns0:r>
        <ns0:t xml:space="preserve">level. Age is less stable across</ns0:t>
      </ns0:r>
      <ns0:r>
        <ns0:t xml:space="preserve"> </ns0:t>
      </ns0:r>
      <ns0:r>
        <ns0:t xml:space="preserve">continuity definitions and should not support an age-only screening rule. The</ns0:t>
      </ns0:r>
      <ns0:r>
        <ns0:t xml:space="preserve"> </ns0:t>
      </ns0:r>
      <ns0:r>
        <ns0:t xml:space="preserve">outcome remains first reported positive installed capacity within an</ns0:t>
      </ns0:r>
      <ns0:r>
        <ns0:t xml:space="preserve"> </ns0:t>
      </ns0:r>
      <ns0:r>
        <ns0:t xml:space="preserve">administrative lineage, not a verified retrofit, construction start, or causal</ns0:t>
      </ns0:r>
      <ns0:r>
        <ns0:t xml:space="preserve"> </ns0:t>
      </ns0:r>
      <ns0:r>
        <ns0:t xml:space="preserve">response to changing capacity.</ns0:t>
      </ns0:r>
    </ns0:p>
    <ns0:p>
      <ns0:pPr>
        <ns0:pStyle ns0:val="af"/>
      </ns0:pPr>
      <ns0:r>
        <ns0:rPr>
          <ns0:b/>
          <ns0:bCs/>
        </ns0:rPr>
        <ns0:t xml:space="preserve">RQ3 is answered by separating installed design from annual use.</ns0:t>
      </ns0:r>
      <ns0:r>
        <ns0:t xml:space="preserve"> </ns0:t>
      </ns0:r>
      <ns0:r>
        <ns0:t xml:space="preserve">Older</ns0:t>
      </ns0:r>
      <ns0:r>
        <ns0:t xml:space="preserve"> </ns0:t>
      </ns0:r>
      <ns0:r>
        <ns0:t xml:space="preserve">reported start-year cohorts have much smaller adjusted installed electrical</ns0:t>
      </ns0:r>
      <ns0:r>
        <ns0:t xml:space="preserve"> </ns0:t>
      </ns0:r>
      <ns0:r>
        <ns0:t xml:space="preserve">capacity, but not uniformly lower administrative capacity-factor proxies. Gross</ns0:t>
      </ns0:r>
      <ns0:r>
        <ns0:t xml:space="preserve"> </ns0:t>
      </ns0:r>
      <ns0:r>
        <ns0:t xml:space="preserve">MWh/t therefore combines generator sizing, annual capacity use, and waste</ns0:t>
      </ns0:r>
      <ns0:r>
        <ns0:t xml:space="preserve"> </ns0:t>
      </ns0:r>
      <ns0:r>
        <ns0:t xml:space="preserve">loading rather than acting as an independent operating-efficiency score. Under</ns0:t>
      </ns0:r>
      <ns0:r>
        <ns0:t xml:space="preserve"> </ns0:t>
      </ns0:r>
      <ns0:r>
        <ns0:t xml:space="preserve">shared controls, sizing is the largest absolute point-estimate accounting</ns0:t>
      </ns0:r>
      <ns0:r>
        <ns0:t xml:space="preserve"> </ns0:t>
      </ns0:r>
      <ns0:r>
        <ns0:t xml:space="preserve">component of every older-cohort gap. The exact component sum is reconciliation</ns0:t>
      </ns0:r>
      <ns0:r>
        <ns0:t xml:space="preserve"> </ns0:t>
      </ns0:r>
      <ns0:r>
        <ns0:t xml:space="preserve">by construction, not independent evidence, and the small pathway comparison</ns0:t>
      </ns0:r>
      <ns0:r>
        <ns0:t xml:space="preserve"> </ns0:t>
      </ns0:r>
      <ns0:r>
        <ns0:t xml:space="preserve">remains a hypothesis-generating appendix rather than an answer to RQ3.</ns0:t>
      </ns0:r>
    </ns0:p>
    <ns0:p>
      <ns0:pPr>
        <ns0:pStyle ns0:val="af"/>
      </ns0:pPr>
      <ns0:r>
        <ns0:t xml:space="preserve">Together, the answers provide one ordered diagnosis. RQ1 locates electricity</ns0:t>
      </ns0:r>
      <ns0:r>
        <ns0:t xml:space="preserve"> </ns0:t>
      </ns0:r>
      <ns0:r>
        <ns0:t xml:space="preserve">recovery within the fleet; RQ2 describes which observed non-generator lineages</ns0:t>
      </ns0:r>
      <ns0:r>
        <ns0:t xml:space="preserve"> </ns0:t>
      </ns0:r>
      <ns0:r>
        <ns0:t xml:space="preserve">first enter the installed-capacity state; and RQ3 explains the observable</ns0:t>
      </ns0:r>
      <ns0:r>
        <ns0:t xml:space="preserve"> </ns0:t>
      </ns0:r>
      <ns0:r>
        <ns0:t xml:space="preserve">structure inside the generating segment. No result is asked to answer a</ns0:t>
      </ns0:r>
      <ns0:r>
        <ns0:t xml:space="preserve"> </ns0:t>
      </ns0:r>
      <ns0:r>
        <ns0:t xml:space="preserve">question belonging to another frame. That separation is the central thesis</ns0:t>
      </ns0:r>
      <ns0:r>
        <ns0:t xml:space="preserve"> </ns0:t>
      </ns0:r>
      <ns0:r>
        <ns0:t xml:space="preserve">contribution and the main safeguard against an aggregate or conditional result</ns0:t>
      </ns0:r>
      <ns0:r>
        <ns0:t xml:space="preserve"> </ns0:t>
      </ns0:r>
      <ns0:r>
        <ns0:t xml:space="preserve">being interpreted causally.</ns0:t>
      </ns0:r>
    </ns0:p>
    <ns0:bookmarkEnd ns0:id="52"/>
    <ns0:bookmarkStart ns0:id="53" ns0:name="evidence-bound-implications"/>
    <ns0:p>
      <ns0:pPr>
        <ns0:pStyle ns0:val="21"/>
      </ns0:pPr>
      <ns0:r>
        <ns0:t xml:space="preserve">5.3 Evidence-bound implications</ns0:t>
      </ns0:r>
    </ns0:p>
    <ns0:p>
      <ns0:pPr>
        <ns0:pStyle ns0:val="FirstParagraph"/>
      </ns0:pPr>
      <ns0:r>
        <ns0:t xml:space="preserve">Monitoring should report facility, throughput, and design-capacity coverage</ns0:t>
      </ns0:r>
      <ns0:r>
        <ns0:t xml:space="preserve"> </ns0:t>
      </ns0:r>
      <ns0:r>
        <ns0:t xml:space="preserve">together. Screening can treat processing scale as a marker for further</ns0:t>
      </ns0:r>
      <ns0:r>
        <ns0:t xml:space="preserve"> </ns0:t>
      </ns0:r>
      <ns0:r>
        <ns0:t xml:space="preserve">feasibility work, but not use an age-only rule. Observed generator-years that</ns0:t>
      </ns0:r>
      <ns0:r>
        <ns0:t xml:space="preserve"> </ns0:t>
      </ns0:r>
      <ns0:r>
        <ns0:t xml:space="preserve">meet the engineering-validity criteria should be compared conditional on sizing</ns0:t>
      </ns0:r>
      <ns0:r>
        <ns0:t xml:space="preserve"> </ns0:t>
      </ns0:r>
      <ns0:r>
        <ns0:t xml:space="preserve">and reported facility start-year cohort before gross MWh/t is interpreted as an</ns0:t>
      </ns0:r>
      <ns0:r>
        <ns0:t xml:space="preserve"> </ns0:t>
      </ns0:r>
      <ns0:r>
        <ns0:t xml:space="preserve">operating gap.</ns0:t>
      </ns0:r>
    </ns0:p>
    <ns0:p>
      <ns0:pPr>
        <ns0:pStyle ns0:val="af"/>
      </ns0:pPr>
      <ns0:r>
        <ns0:t xml:space="preserve">These are measurement and diagnostic implications, not a ranked list of</ns0:t>
      </ns0:r>
      <ns0:r>
        <ns0:t xml:space="preserve"> </ns0:t>
      </ns0:r>
      <ns0:r>
        <ns0:t xml:space="preserve">projects. The study does not determine whether a municipality should build,</ns0:t>
      </ns0:r>
      <ns0:r>
        <ns0:t xml:space="preserve"> </ns0:t>
      </ns0:r>
      <ns0:r>
        <ns0:t xml:space="preserve">replace, coordinate, maintain, or retire a facility. Such decisions require</ns0:t>
      </ns0:r>
      <ns0:r>
        <ns0:t xml:space="preserve"> </ns0:t>
      </ns0:r>
      <ns0:r>
        <ns0:t xml:space="preserve">capital costs, waste-supply agreements, grid and internal-use conditions,</ns0:t>
      </ns0:r>
      <ns0:r>
        <ns0:t xml:space="preserve"> </ns0:t>
      </ns0:r>
      <ns0:r>
        <ns0:t xml:space="preserve">maintenance history, emissions controls, heat demand, and alternatives higher</ns0:t>
      </ns0:r>
      <ns0:r>
        <ns0:t xml:space="preserve"> </ns0:t>
      </ns0:r>
      <ns0:r>
        <ns0:t xml:space="preserve">in the waste hierarchy. The thesis’s role is to prevent an aggregate statistic</ns0:t>
      </ns0:r>
      <ns0:r>
        <ns0:t xml:space="preserve"> </ns0:t>
      </ns0:r>
      <ns0:r>
        <ns0:t xml:space="preserve">or misspecified ratio from deciding those questions implicitly.</ns0:t>
      </ns0:r>
    </ns0:p>
    <ns0:bookmarkEnd ns0:id="53"/>
    <ns0:bookmarkStart ns0:id="54" ns0:name="limitations-and-next-evidence-needed"/>
    <ns0:p>
      <ns0:pPr>
        <ns0:pStyle ns0:val="21"/>
      </ns0:pPr>
      <ns0:r>
        <ns0:t xml:space="preserve">5.4 Limitations and next evidence needed</ns0:t>
      </ns0:r>
    </ns0:p>
    <ns0:p>
      <ns0:pPr>
        <ns0:pStyle ns0:val="FirstParagraph"/>
      </ns0:pPr>
      <ns0:r>
        <ns0:t xml:space="preserve">The 20 workbooks are hash-identified and parser mappings are documented, but</ns0:t>
      </ns0:r>
      <ns0:r>
        <ns0:t xml:space="preserve"> </ns0:t>
      </ns0:r>
      <ns0:r>
        <ns0:t xml:space="preserve">their original retrieval timestamps and publisher-side revision history are</ns0:t>
      </ns0:r>
      <ns0:r>
        <ns0:t xml:space="preserve"> </ns0:t>
      </ns0:r>
      <ns0:r>
        <ns0:t xml:space="preserve">unavailable. Future acquisition should archive both.</ns0:t>
      </ns0:r>
    </ns0:p>
    <ns0:p>
      <ns0:pPr>
        <ns0:pStyle ns0:val="af"/>
      </ns0:pPr>
      <ns0:r>
        <ns0:t xml:space="preserve">Stable administrative lineages remain inferred. The resolver addresses exact</ns0:t>
      </ns0:r>
      <ns0:r>
        <ns0:t xml:space="preserve"> </ns0:t>
      </ns0:r>
      <ns0:r>
        <ns0:t xml:space="preserve">duplicates, code breaks, row-order dependence, and known difficult links, but no</ns0:t>
      </ns0:r>
      <ns0:r>
        <ns0:t xml:space="preserve"> </ns0:t>
      </ns0:r>
      <ns0:r>
        <ns0:t xml:space="preserve">physical-site registry verifies ownership, construction, or closure histories.</ns0:t>
      </ns0:r>
      <ns0:r>
        <ns0:t xml:space="preserve"> </ns0:t>
      </ns0:r>
      <ns0:r>
        <ns0:t xml:space="preserve">The blinded clerical-review packet is generated, but an independent reviewer has</ns0:t>
      </ns0:r>
      <ns0:r>
        <ns0:t xml:space="preserve"> </ns0:t>
      </ns0:r>
      <ns0:r>
        <ns0:t xml:space="preserve">not yet completed and adjudicated it. This outstanding validation step is</ns0:t>
      </ns0:r>
      <ns0:r>
        <ns0:t xml:space="preserve"> </ns0:t>
      </ns0:r>
      <ns0:r>
        <ns0:t xml:space="preserve">why the thesis describes deterministic linkage and sensitivity checks rather</ns0:t>
      </ns0:r>
      <ns0:r>
        <ns0:t xml:space="preserve"> </ns0:t>
      </ns0:r>
      <ns0:r>
        <ns0:t xml:space="preserve">than independently audited identity. Administrative absence is therefore not</ns0:t>
      </ns0:r>
      <ns0:r>
        <ns0:t xml:space="preserve"> </ns0:t>
      </ns0:r>
      <ns0:r>
        <ns0:t xml:space="preserve">modeled as a physical outcome.</ns0:t>
      </ns0:r>
    </ns0:p>
    <ns0:p>
      <ns0:pPr>
        <ns0:pStyle ns0:val="af"/>
      </ns0:pPr>
      <ns0:r>
        <ns0:t xml:space="preserve">Entry is rare and partially left-censored. Firth estimation and lineage</ns0:t>
      </ns0:r>
      <ns0:r>
        <ns0:t xml:space="preserve"> </ns0:t>
      </ns0:r>
      <ns0:r>
        <ns0:t xml:space="preserve">bootstrapping cannot overcome only 35 broad-frame, 33 prior-operation, and 24</ns0:t>
      </ns0:r>
      <ns0:r>
        <ns0:t xml:space="preserve"> </ns0:t>
      </ns0:r>
      <ns0:r>
        <ns0:t xml:space="preserve">same-episode events. Although all 1,999 requested bootstrap replications per</ns0:t>
      </ns0:r>
      <ns0:r>
        <ns0:t xml:space="preserve"> </ns0:t>
      </ns0:r>
      <ns0:r>
        <ns0:t xml:space="preserve">frame converge, resampling cannot create missing project information. The</ns0:t>
      </ns0:r>
      <ns0:r>
        <ns0:t xml:space="preserve"> </ns0:t>
      </ns0:r>
      <ns0:r>
        <ns0:t xml:space="preserve">parsimonious models omit financing, prices, contracts, catchments, maintenance,</ns0:t>
      </ns0:r>
      <ns0:r>
        <ns0:t xml:space="preserve"> </ns0:t>
      </ns0:r>
      <ns0:r>
        <ns0:t xml:space="preserve">and detailed technology. Scale may</ns0:t>
      </ns0:r>
      <ns0:r>
        <ns0:t xml:space="preserve"> </ns0:t>
      </ns0:r>
      <ns0:r>
        <ns0:t xml:space="preserve">proxy for these, so odds ratios are associations rather than effects of changing</ns0:t>
      </ns0:r>
      <ns0:r>
        <ns0:t xml:space="preserve"> </ns0:t>
      </ns0:r>
      <ns0:r>
        <ns0:t xml:space="preserve">t/day.</ns0:t>
      </ns0:r>
    </ns0:p>
    <ns0:p>
      <ns0:pPr>
        <ns0:pStyle ns0:val="af"/>
      </ns0:pPr>
      <ns0:r>
        <ns0:t xml:space="preserve">Installed-capacity state is also a reporting construct. Forty-nine panel rows</ns0:t>
      </ns0:r>
      <ns0:r>
        <ns0:t xml:space="preserve"> </ns0:t>
      </ns0:r>
      <ns0:r>
        <ns0:t xml:space="preserve">across six lineages report positive gross output despite a blank or zero</ns0:t>
      </ns0:r>
      <ns0:r>
        <ns0:t xml:space="preserve"> </ns0:t>
      </ns0:r>
      <ns0:r>
        <ns0:t xml:space="preserve">installed-capacity field. None is the immediately prior row of a modeled event,</ns0:t>
      </ns0:r>
      <ns0:r>
        <ns0:t xml:space="preserve"> </ns0:t>
      </ns0:r>
      <ns0:r>
        <ns0:t xml:space="preserve">and the two-prior-year state sensitivity remains positive, but these checks do</ns0:t>
      </ns0:r>
      <ns0:r>
        <ns0:t xml:space="preserve"> </ns0:t>
      </ns0:r>
      <ns0:r>
        <ns0:t xml:space="preserve">not prove that workbook blanks represent physical absence. External equipment</ns0:t>
      </ns0:r>
      <ns0:r>
        <ns0:t xml:space="preserve"> </ns0:t>
      </ns0:r>
      <ns0:r>
        <ns0:t xml:space="preserve">or commissioning records are needed to verify event meaning.</ns0:t>
      </ns0:r>
    </ns0:p>
    <ns0:p>
      <ns0:pPr>
        <ns0:pStyle ns0:val="af"/>
      </ns0:pPr>
      <ns0:r>
        <ns0:t xml:space="preserve">Generator fields also have strict boundaries. Gross generation is not net</ns0:t>
      </ns0:r>
      <ns0:r>
        <ns0:t xml:space="preserve"> </ns0:t>
      </ns0:r>
      <ns0:r>
        <ns0:t xml:space="preserve">export; on-site use and useful heat are incomplete; reported capacity may differ</ns0:t>
      </ns0:r>
      <ns0:r>
        <ns0:t xml:space="preserve"> </ns0:t>
      </ns0:r>
      <ns0:r>
        <ns0:t xml:space="preserve">from availability; and MWh/t is not the European Union R1 energy-efficiency</ns0:t>
      </ns0:r>
      <ns0:r>
        <ns0:t xml:space="preserve"> </ns0:t>
      </ns0:r>
      <ns0:r>
        <ns0:t xml:space="preserve">indicator, a lifecycle measure, or an economic measure (Grosso et al., 2010).</ns0:t>
      </ns0:r>
      <ns0:r>
        <ns0:t xml:space="preserve"> </ns0:t>
      </ns0:r>
      <ns0:r>
        <ns0:t xml:space="preserve">Heating-value coverage is insufficient for a common thermal measure. Bounds</ns0:t>
      </ns0:r>
      <ns0:r>
        <ns0:t xml:space="preserve"> </ns0:t>
      </ns0:r>
      <ns0:r>
        <ns0:t xml:space="preserve">remove 149 rows but may exclude unusual valid cases or retain plausible-looking</ns0:t>
      </ns0:r>
      <ns0:r>
        <ns0:t xml:space="preserve"> </ns0:t>
      </ns0:r>
      <ns0:r>
        <ns0:t xml:space="preserve">errors.</ns0:t>
      </ns0:r>
    </ns0:p>
    <ns0:p>
      <ns0:pPr>
        <ns0:pStyle ns0:val="af"/>
      </ns0:pPr>
      <ns0:r>
        <ns0:t xml:space="preserve">Reported facility start year is not an equipment date and can bundle original</ns0:t>
      </ns0:r>
      <ns0:r>
        <ns0:t xml:space="preserve"> </ns0:t>
      </ns0:r>
      <ns0:r>
        <ns0:t xml:space="preserve">design, later equipment, reporting, waste, and municipality context. Annual throughput,</ns0:t>
      </ns0:r>
      <ns0:r>
        <ns0:t xml:space="preserve"> </ns0:t>
      </ns0:r>
      <ns0:r>
        <ns0:t xml:space="preserve">capacity factor, maintenance, and output are jointly determined. Controls,</ns0:t>
      </ns0:r>
      <ns0:r>
        <ns0:t xml:space="preserve"> </ns0:t>
      </ns0:r>
      <ns0:r>
        <ns0:t xml:space="preserve">fixed effects, and adjacent differences do not create exogenous variation; the</ns0:t>
      </ns0:r>
      <ns0:r>
        <ns0:t xml:space="preserve"> </ns0:t>
      </ns0:r>
      <ns0:r>
        <ns0:t xml:space="preserve">equations remain accounting identities and conditional descriptions.</ns0:t>
      </ns0:r>
    </ns0:p>
    <ns0:p>
      <ns0:pPr>
        <ns0:pStyle ns0:val="af"/>
      </ns0:pPr>
      <ns0:r>
        <ns0:t xml:space="preserve">The 2010-or-later cohort necessarily enters the panel only from FY2010 onward,</ns0:t>
      </ns0:r>
      <ns0:r>
        <ns0:t xml:space="preserve"> </ns0:t>
      </ns0:r>
      <ns0:r>
        <ns0:t xml:space="preserve">whereas older cohorts span more of the study window. Fiscal-year indicators</ns0:t>
      </ns0:r>
      <ns0:r>
        <ns0:t xml:space="preserve"> </ns0:t>
      </ns0:r>
      <ns0:r>
        <ns0:t xml:space="preserve">create within-year comparisons where cohorts overlap, but they do not remove</ns0:t>
      </ns0:r>
      <ns0:r>
        <ns0:t xml:space="preserve"> </ns0:t>
      </ns0:r>
      <ns0:r>
        <ns0:t xml:space="preserve">selective survival, unrecorded replacement, or cohort-specific reporting. The</ns0:t>
      </ns0:r>
      <ns0:r>
        <ns0:t xml:space="preserve"> </ns0:t>
      </ns0:r>
      <ns0:r>
        <ns0:t xml:space="preserve">adjusted contrasts are conditional administrative differences, not physical</ns0:t>
      </ns0:r>
      <ns0:r>
        <ns0:t xml:space="preserve"> </ns0:t>
      </ns0:r>
      <ns0:r>
        <ns0:t xml:space="preserve">depreciation or technology effects.</ns0:t>
      </ns0:r>
    </ns0:p>
    <ns0:p>
      <ns0:pPr>
        <ns0:pStyle ns0:val="af"/>
      </ns0:pPr>
      <ns0:r>
        <ns0:t xml:space="preserve">The next evidence programme has three priorities. First, commissioning,</ns0:t>
      </ns0:r>
      <ns0:r>
        <ns0:t xml:space="preserve"> </ns0:t>
      </ns0:r>
      <ns0:r>
        <ns0:t xml:space="preserve">procurement, or equipment records should verify the 35 modeled events and the</ns0:t>
      </ns0:r>
      <ns0:r>
        <ns0:t xml:space="preserve"> </ns0:t>
      </ns0:r>
      <ns0:r>
        <ns0:t xml:space="preserve">administrative lineages around them. Second, net-export, internal-use, useful-</ns0:t>
      </ns0:r>
      <ns0:r>
        <ns0:t xml:space="preserve"> </ns0:t>
      </ns0:r>
      <ns0:r>
        <ns0:t xml:space="preserve">heat, outage, cost, and waste-composition records should characterize project</ns0:t>
      </ns0:r>
      <ns0:r>
        <ns0:t xml:space="preserve"> </ns0:t>
      </ns0:r>
      <ns0:r>
        <ns0:t xml:space="preserve">and operating performance. Third, only after policy exposure and credible</ns0:t>
      </ns0:r>
      <ns0:r>
        <ns0:t xml:space="preserve"> </ns0:t>
      </ns0:r>
      <ns0:r>
        <ns0:t xml:space="preserve">comparison units are observed should a later study attempt causal evaluation of</ns0:t>
      </ns0:r>
      <ns0:r>
        <ns0:t xml:space="preserve"> </ns0:t>
      </ns0:r>
      <ns0:r>
        <ns0:t xml:space="preserve">FIT, subsidy, retrofit, or replacement effects.</ns0:t>
      </ns0:r>
    </ns0:p>
    <ns0:p>
      <ns0:pPr>
        <ns0:pStyle ns0:val="af"/>
      </ns0:pPr>
      <ns0:r>
        <ns0:t xml:space="preserve">Finally, the pathway contrast is small and selected, and reported resets do not</ns0:t>
      </ns0:r>
      <ns0:r>
        <ns0:t xml:space="preserve"> </ns0:t>
      </ns0:r>
      <ns0:r>
        <ns0:t xml:space="preserve">verify physical replacement. It remains a hypothesis-generating pointer toward</ns0:t>
      </ns0:r>
      <ns0:r>
        <ns0:t xml:space="preserve"> </ns0:t>
      </ns0:r>
      <ns0:r>
        <ns0:t xml:space="preserve">the first and second evidence priorities, not a project-effect estimate.</ns0:t>
      </ns0:r>
    </ns0:p>
    <ns0:bookmarkEnd ns0:id="54"/>
    <ns0:bookmarkEnd ns0:id="55"/>
    <ns0:bookmarkStart ns0:id="56" ns0:name="conclusion"/>
    <ns0:p>
      <ns0:pPr>
        <ns0:pStyle ns0:val="1"/>
      </ns0:pPr>
      <ns0:r>
        <ns0:t xml:space="preserve">6. Conclusion</ns0:t>
      </ns0:r>
    </ns0:p>
    <ns0:p>
      <ns0:pPr>
        <ns0:pStyle ns0:val="FirstParagraph"/>
      </ns0:pPr>
      <ns0:r>
        <ns0:t xml:space="preserve">Japan’s municipal-incineration fleet looks different at three margins. In</ns0:t>
      </ns0:r>
      <ns0:r>
        <ns0:t xml:space="preserve"> </ns0:t>
      </ns0:r>
      <ns0:r>
        <ns0:t xml:space="preserve">FY2024, installed capacity appears in 41.1% of all records and 46.4% of positive-</ns0:t>
      </ns0:r>
      <ns0:r>
        <ns0:t xml:space="preserve"> </ns0:t>
      </ns0:r>
      <ns0:r>
        <ns0:t xml:space="preserve">throughput records; positive output appears in 40.4% and 46.6%, respectively.</ns0:t>
      </ns0:r>
      <ns0:r>
        <ns0:t xml:space="preserve"> </ns0:t>
      </ns0:r>
      <ns0:r>
        <ns0:t xml:space="preserve">Positive-output facilities handle 80.1% of throughput, and installed-capacity</ns0:t>
      </ns0:r>
      <ns0:r>
        <ns0:t xml:space="preserve"> </ns0:t>
      </ns0:r>
      <ns0:r>
        <ns0:t xml:space="preserve">facilities represent 70.5% of processing design capacity. The 19.50-point</ns0:t>
      </ns0:r>
      <ns0:r>
        <ns0:t xml:space="preserve"> </ns0:t>
      </ns0:r>
      <ns0:r>
        <ns0:t xml:space="preserve">all-record rise since FY2005 is only 2.19 points among endpoint-common</ns0:t>
      </ns0:r>
      <ns0:r>
        <ns0:t xml:space="preserve"> </ns0:t>
      </ns0:r>
      <ns0:r>
        <ns0:t xml:space="preserve">lineages, a contrast consistent with a substantial fleet-composition</ns0:t>
      </ns0:r>
      <ns0:r>
        <ns0:t xml:space="preserve"> </ns0:t>
      </ns0:r>
      <ns0:r>
        <ns0:t xml:space="preserve">contribution. At the transition margin, standardized annual predictions rise</ns0:t>
      </ns0:r>
      <ns0:r>
        <ns0:t xml:space="preserve"> </ns0:t>
      </ns0:r>
      <ns0:r>
        <ns0:t xml:space="preserve">from 0.68 to 3.29 entries per 1,000 facility-years across the support-rich</ns0:t>
      </ns0:r>
      <ns0:r>
        <ns0:t xml:space="preserve"> </ns0:t>
      </ns0:r>
      <ns0:r>
        <ns0:t xml:space="preserve">24-120 t/day range. The primary 300-versus-100 t/day odds ratio is 6.72, but</ns0:t>
      </ns0:r>
      <ns0:r>
        <ns0:t xml:space="preserve"> </ns0:t>
      </ns0:r>
      <ns0:r>
        <ns0:t xml:space="preserve">300 t/day is a thinly supported tail contrast. The scale direction is stable</ns0:t>
      </ns0:r>
      <ns0:r>
        <ns0:t xml:space="preserve"> </ns0:t>
      </ns0:r>
      <ns0:r>
        <ns0:t xml:space="preserve">across the reported sensitivity analyses,</ns0:t>
      </ns0:r>
      <ns0:r>
        <ns0:t xml:space="preserve"> </ns0:t>
      </ns0:r>
      <ns0:r>
        <ns0:t xml:space="preserve">but age remains continuity-sensitive and neither association is causal. At the</ns0:t>
      </ns0:r>
      <ns0:r>
        <ns0:t xml:space="preserve"> </ns0:t>
      </ns0:r>
      <ns0:r>
        <ns0:t xml:space="preserve">component margin, independent raw-kW and capacity-factor models show that cohort</ns0:t>
      </ns0:r>
      <ns0:r>
        <ns0:t xml:space="preserve"> </ns0:t>
      </ns0:r>
      <ns0:r>
        <ns0:t xml:space="preserve">differences are much larger for installed sizing than for uniformly lower annual</ns0:t>
      </ns0:r>
      <ns0:r>
        <ns0:t xml:space="preserve"> </ns0:t>
      </ns0:r>
      <ns0:r>
        <ns0:t xml:space="preserve">use. A shared-control identity then reconciles sizing as the largest absolute</ns0:t>
      </ns0:r>
      <ns0:r>
        <ns0:t xml:space="preserve"> </ns0:t>
      </ns0:r>
      <ns0:r>
        <ns0:t xml:space="preserve">point-estimate accounting component of each older-cohort gross-intensity gap; it</ns0:t>
      </ns0:r>
      <ns0:r>
        <ns0:t xml:space="preserve"> </ns0:t>
      </ns0:r>
      <ns0:r>
        <ns0:t xml:space="preserve">does not independently</ns0:t>
      </ns0:r>
      <ns0:r>
        <ns0:t xml:space="preserve"> </ns0:t>
      </ns0:r>
      <ns0:r>
        <ns0:t xml:space="preserve">confirm a causal mechanism.</ns0:t>
      </ns0:r>
    </ns0:p>
    <ns0:p>
      <ns0:pPr>
        <ns0:pStyle ns0:val="af"/>
      </ns0:pPr>
      <ns0:r>
        <ns0:t xml:space="preserve">The thesis’s contribution is therefore not a claim that every non-generator is</ns0:t>
      </ns0:r>
      <ns0:r>
        <ns0:t xml:space="preserve"> </ns0:t>
      </ns0:r>
      <ns0:r>
        <ns0:t xml:space="preserve">an equal opportunity or that newer facilities simply perform better. It is a</ns0:t>
      </ns0:r>
      <ns0:r>
        <ns0:t xml:space="preserve"> </ns0:t>
      </ns0:r>
      <ns0:r>
        <ns0:t xml:space="preserve">three-margin diagnostic: reconstruct lineages before transitions, separate</ns0:t>
      </ns0:r>
      <ns0:r>
        <ns0:t xml:space="preserve"> </ns0:t>
      </ns0:r>
      <ns0:r>
        <ns0:t xml:space="preserve">counts from covered activity, and separate installed design from annual use.</ns0:t>
      </ns0:r>
      <ns0:r>
        <ns0:t xml:space="preserve"> </ns0:t>
      </ns0:r>
      <ns0:r>
        <ns0:t xml:space="preserve">That architecture gives readers a clear foundation for</ns0:t>
      </ns0:r>
      <ns0:r>
        <ns0:t xml:space="preserve"> </ns0:t>
      </ns0:r>
      <ns0:r>
        <ns0:t xml:space="preserve">deciding which next question requires engineering, capital-history, or causal</ns0:t>
      </ns0:r>
      <ns0:r>
        <ns0:t xml:space="preserve"> </ns0:t>
      </ns0:r>
      <ns0:r>
        <ns0:t xml:space="preserve">evidence.</ns0:t>
      </ns0:r>
    </ns0:p>
    <ns0:bookmarkEnd ns0:id="56"/>
    <ns0:bookmarkStart ns0:id="57" ns0:name="acknowledgements"/>
    <ns0:p>
      <ns0:pPr>
        <ns0:pStyle ns0:val="1"/>
      </ns0:pPr>
      <ns0:r>
        <ns0:t xml:space="preserve">Acknowledgements</ns0:t>
      </ns0:r>
    </ns0:p>
    <ns0:p>
      <ns0:pPr>
        <ns0:pStyle ns0:val="FirstParagraph"/>
      </ns0:pPr>
      <ns0:r>
        <ns0:t xml:space="preserve">The author thanks Prof. Han Ji for supervision and critical feedback during the</ns0:t>
      </ns0:r>
      <ns0:r>
        <ns0:t xml:space="preserve"> </ns0:t>
      </ns0:r>
      <ns0:r>
        <ns0:t xml:space="preserve">development of this thesis.</ns0:t>
      </ns0:r>
    </ns0:p>
    <ns0:bookmarkEnd ns0:id="57"/>
    <ns0:bookmarkStart ns0:id="58" ns0:name="references"/>
    <ns0:p>
      <ns0:pPr>
        <ns0:pStyle ns0:val="1"/>
      </ns0:pPr>
      <ns0:r>
        <ns0:t xml:space="preserve">References</ns0:t>
      </ns0:r>
    </ns0:p>
    <ns0:p>
      <ns0:pPr>
        <ns0:pStyle ns0:val="FirstParagraph"/>
      </ns0:pPr>
      <ns0:r>
        <ns0:t xml:space="preserve">Agency for Natural Resources and Energy. (2017).</ns0:t>
      </ns0:r>
      <ns0:r>
        <ns0:t xml:space="preserve"> </ns0:t>
      </ns0:r>
      <ns0:r>
        <ns0:rPr>
          <ns0:i/>
          <ns0:iCs/>
        </ns0:rPr>
        <ns0:t xml:space="preserve">FY2016 annual report on</ns0:t>
      </ns0:r>
      <ns0:r>
        <ns0:rPr>
          <ns0:i/>
          <ns0:iCs/>
        </ns0:rPr>
        <ns0:t xml:space="preserve"> </ns0:t>
      </ns0:r>
      <ns0:r>
        <ns0:rPr>
          <ns0:i/>
          <ns0:iCs/>
        </ns0:rPr>
        <ns0:t xml:space="preserve">energy: Outline</ns0:t>
      </ns0:r>
      <ns0:r>
        <ns0:t xml:space="preserve">. Ministry of Economy, Trade and Industry.</ns0:t>
      </ns0:r>
      <ns0:r>
        <ns0:t xml:space="preserve"> </ns0:t>
      </ns0:r>
      <ns0:r>
        <ns0:t xml:space="preserve">https://www.enecho.meti.go.jp/en/category/whitepaper/pdf/2017_outline.pdf</ns0:t>
      </ns0:r>
    </ns0:p>
    <ns0:p>
      <ns0:pPr>
        <ns0:pStyle ns0:val="af"/>
      </ns0:pPr>
      <ns0:r>
        <ns0:t xml:space="preserve">Allison, P. D. (1982). Discrete-time methods for the analysis of event histories.</ns0:t>
      </ns0:r>
      <ns0:r>
        <ns0:t xml:space="preserve"> </ns0:t>
      </ns0:r>
      <ns0:r>
        <ns0:rPr>
          <ns0:i/>
          <ns0:iCs/>
        </ns0:rPr>
        <ns0:t xml:space="preserve">Sociological Methodology</ns0:t>
      </ns0:r>
      <ns0:r>
        <ns0:t xml:space="preserve">,</ns0:t>
      </ns0:r>
      <ns0:r>
        <ns0:t xml:space="preserve"> </ns0:t>
      </ns0:r>
      <ns0:r>
        <ns0:rPr>
          <ns0:i/>
          <ns0:iCs/>
        </ns0:rPr>
        <ns0:t xml:space="preserve">13</ns0:t>
      </ns0:r>
      <ns0:r>
        <ns0:t xml:space="preserve">, 61-98. https://doi.org/10.2307/270718</ns0:t>
      </ns0:r>
    </ns0:p>
    <ns0:p>
      <ns0:pPr>
        <ns0:pStyle ns0:val="af"/>
      </ns0:pPr>
      <ns0:r>
        <ns0:t xml:space="preserve">Astrup, T., Møller, J., &amp; Fruergaard, T. (2009). Incineration and</ns0:t>
      </ns0:r>
      <ns0:r>
        <ns0:t xml:space="preserve"> </ns0:t>
      </ns0:r>
      <ns0:r>
        <ns0:t xml:space="preserve">co-combustion of waste: Accounting of greenhouse gases and global warming</ns0:t>
      </ns0:r>
      <ns0:r>
        <ns0:t xml:space="preserve"> </ns0:t>
      </ns0:r>
      <ns0:r>
        <ns0:t xml:space="preserve">contributions.</ns0:t>
      </ns0:r>
      <ns0:r>
        <ns0:t xml:space="preserve"> </ns0:t>
      </ns0:r>
      <ns0:r>
        <ns0:rPr>
          <ns0:i/>
          <ns0:iCs/>
        </ns0:rPr>
        <ns0:t xml:space="preserve">Waste Management &amp; Research</ns0:t>
      </ns0:r>
      <ns0:r>
        <ns0:t xml:space="preserve">,</ns0:t>
      </ns0:r>
      <ns0:r>
        <ns0:t xml:space="preserve"> </ns0:t>
      </ns0:r>
      <ns0:r>
        <ns0:rPr>
          <ns0:i/>
          <ns0:iCs/>
        </ns0:rPr>
        <ns0:t xml:space="preserve">27</ns0:t>
      </ns0:r>
      <ns0:r>
        <ns0:t xml:space="preserve">(8), 789-799.</ns0:t>
      </ns0:r>
      <ns0:r>
        <ns0:t xml:space="preserve"> </ns0:t>
      </ns0:r>
      <ns0:r>
        <ns0:t xml:space="preserve">https://doi.org/10.1177/0734242X09343774</ns0:t>
      </ns0:r>
    </ns0:p>
    <ns0:p>
      <ns0:pPr>
        <ns0:pStyle ns0:val="af"/>
      </ns0:pPr>
      <ns0:r>
        <ns0:t xml:space="preserve">Astrup, T. F., Tonini, D., Turconi, R., &amp; Boldrin, A. (2015). Life cycle</ns0:t>
      </ns0:r>
      <ns0:r>
        <ns0:t xml:space="preserve"> </ns0:t>
      </ns0:r>
      <ns0:r>
        <ns0:t xml:space="preserve">assessment of thermal waste-to-energy technologies: Review and recommendations.</ns0:t>
      </ns0:r>
      <ns0:r>
        <ns0:t xml:space="preserve"> </ns0:t>
      </ns0:r>
      <ns0:r>
        <ns0:rPr>
          <ns0:i/>
          <ns0:iCs/>
        </ns0:rPr>
        <ns0:t xml:space="preserve">Waste Management</ns0:t>
      </ns0:r>
      <ns0:r>
        <ns0:t xml:space="preserve">,</ns0:t>
      </ns0:r>
      <ns0:r>
        <ns0:t xml:space="preserve"> </ns0:t>
      </ns0:r>
      <ns0:r>
        <ns0:rPr>
          <ns0:i/>
          <ns0:iCs/>
        </ns0:rPr>
        <ns0:t xml:space="preserve">37</ns0:t>
      </ns0:r>
      <ns0:r>
        <ns0:t xml:space="preserve">, 104-115.</ns0:t>
      </ns0:r>
      <ns0:r>
        <ns0:t xml:space="preserve"> </ns0:t>
      </ns0:r>
      <ns0:r>
        <ns0:t xml:space="preserve">https://doi.org/10.1016/j.wasman.2014.06.011</ns0:t>
      </ns0:r>
    </ns0:p>
    <ns0:p>
      <ns0:pPr>
        <ns0:pStyle ns0:val="af"/>
      </ns0:pPr>
      <ns0:r>
        <ns0:t xml:space="preserve">Beck, N., Katz, J. N., &amp; Tucker, R. (1998). Taking time seriously:</ns0:t>
      </ns0:r>
      <ns0:r>
        <ns0:t xml:space="preserve"> </ns0:t>
      </ns0:r>
      <ns0:r>
        <ns0:t xml:space="preserve">Time-series-cross-section analysis with a binary dependent variable.</ns0:t>
      </ns0:r>
      <ns0:r>
        <ns0:t xml:space="preserve"> </ns0:t>
      </ns0:r>
      <ns0:r>
        <ns0:rPr>
          <ns0:i/>
          <ns0:iCs/>
        </ns0:rPr>
        <ns0:t xml:space="preserve">American</ns0:t>
      </ns0:r>
      <ns0:r>
        <ns0:rPr>
          <ns0:i/>
          <ns0:iCs/>
        </ns0:rPr>
        <ns0:t xml:space="preserve"> </ns0:t>
      </ns0:r>
      <ns0:r>
        <ns0:rPr>
          <ns0:i/>
          <ns0:iCs/>
        </ns0:rPr>
        <ns0:t xml:space="preserve">Journal of Political Science</ns0:t>
      </ns0:r>
      <ns0:r>
        <ns0:t xml:space="preserve">,</ns0:t>
      </ns0:r>
      <ns0:r>
        <ns0:t xml:space="preserve"> </ns0:t>
      </ns0:r>
      <ns0:r>
        <ns0:rPr>
          <ns0:i/>
          <ns0:iCs/>
        </ns0:rPr>
        <ns0:t xml:space="preserve">42</ns0:t>
      </ns0:r>
      <ns0:r>
        <ns0:t xml:space="preserve">(4), 1260-1288.</ns0:t>
      </ns0:r>
      <ns0:r>
        <ns0:t xml:space="preserve"> </ns0:t>
      </ns0:r>
      <ns0:r>
        <ns0:t xml:space="preserve">https://doi.org/10.2307/2991857</ns0:t>
      </ns0:r>
    </ns0:p>
    <ns0:p>
      <ns0:pPr>
        <ns0:pStyle ns0:val="af"/>
      </ns0:pPr>
      <ns0:r>
        <ns0:t xml:space="preserve">Brunner, P. H., &amp; Rechberger, H. (2015). Waste to energy - key element for</ns0:t>
      </ns0:r>
      <ns0:r>
        <ns0:t xml:space="preserve"> </ns0:t>
      </ns0:r>
      <ns0:r>
        <ns0:t xml:space="preserve">sustainable waste management.</ns0:t>
      </ns0:r>
      <ns0:r>
        <ns0:t xml:space="preserve"> </ns0:t>
      </ns0:r>
      <ns0:r>
        <ns0:rPr>
          <ns0:i/>
          <ns0:iCs/>
        </ns0:rPr>
        <ns0:t xml:space="preserve">Waste Management</ns0:t>
      </ns0:r>
      <ns0:r>
        <ns0:t xml:space="preserve">,</ns0:t>
      </ns0:r>
      <ns0:r>
        <ns0:t xml:space="preserve"> </ns0:t>
      </ns0:r>
      <ns0:r>
        <ns0:rPr>
          <ns0:i/>
          <ns0:iCs/>
        </ns0:rPr>
        <ns0:t xml:space="preserve">37</ns0:t>
      </ns0:r>
      <ns0:r>
        <ns0:t xml:space="preserve">, 3-12.</ns0:t>
      </ns0:r>
      <ns0:r>
        <ns0:t xml:space="preserve"> </ns0:t>
      </ns0:r>
      <ns0:r>
        <ns0:t xml:space="preserve">https://doi.org/10.1016/j.wasman.2014.02.003</ns0:t>
      </ns0:r>
    </ns0:p>
    <ns0:p>
      <ns0:pPr>
        <ns0:pStyle ns0:val="af"/>
      </ns0:pPr>
      <ns0:r>
        <ns0:t xml:space="preserve">Chen, P.-C., Chang, C.-C., Yu, M.-M., &amp; Hsu, S.-H. (2012). Performance</ns0:t>
      </ns0:r>
      <ns0:r>
        <ns0:t xml:space="preserve"> </ns0:t>
      </ns0:r>
      <ns0:r>
        <ns0:t xml:space="preserve">measurement for incineration plants using multi-activity network data</ns0:t>
      </ns0:r>
      <ns0:r>
        <ns0:t xml:space="preserve"> </ns0:t>
      </ns0:r>
      <ns0:r>
        <ns0:t xml:space="preserve">envelopment analysis: The case of Taiwan.</ns0:t>
      </ns0:r>
      <ns0:r>
        <ns0:t xml:space="preserve"> </ns0:t>
      </ns0:r>
      <ns0:r>
        <ns0:rPr>
          <ns0:i/>
          <ns0:iCs/>
        </ns0:rPr>
        <ns0:t xml:space="preserve">Journal of Environmental</ns0:t>
      </ns0:r>
      <ns0:r>
        <ns0:rPr>
          <ns0:i/>
          <ns0:iCs/>
        </ns0:rPr>
        <ns0:t xml:space="preserve"> </ns0:t>
      </ns0:r>
      <ns0:r>
        <ns0:rPr>
          <ns0:i/>
          <ns0:iCs/>
        </ns0:rPr>
        <ns0:t xml:space="preserve">Management</ns0:t>
      </ns0:r>
      <ns0:r>
        <ns0:t xml:space="preserve">,</ns0:t>
      </ns0:r>
      <ns0:r>
        <ns0:t xml:space="preserve"> </ns0:t>
      </ns0:r>
      <ns0:r>
        <ns0:rPr>
          <ns0:i/>
          <ns0:iCs/>
        </ns0:rPr>
        <ns0:t xml:space="preserve">93</ns0:t>
      </ns0:r>
      <ns0:r>
        <ns0:t xml:space="preserve">(1), 95-103. https://doi.org/10.1016/j.jenvman.2011.08.011</ns0:t>
      </ns0:r>
    </ns0:p>
    <ns0:p>
      <ns0:pPr>
        <ns0:pStyle ns0:val="af"/>
      </ns0:pPr>
      <ns0:r>
        <ns0:t xml:space="preserve">Cui, J., Cui, Y., Li, J., Gao, X., Wei, W., Chen, Y., Ma, W., Zhu, N., Geng,</ns0:t>
      </ns0:r>
      <ns0:r>
        <ns0:t xml:space="preserve"> </ns0:t>
      </ns0:r>
      <ns0:r>
        <ns0:t xml:space="preserve">Y., Zhao, Y., &amp; Lou, Z. (2026). Efficiency hierarchy and optimization of waste</ns0:t>
      </ns0:r>
      <ns0:r>
        <ns0:t xml:space="preserve"> </ns0:t>
      </ns0:r>
      <ns0:r>
        <ns0:t xml:space="preserve">incineration in China to balance disposal and energy supply.</ns0:t>
      </ns0:r>
      <ns0:r>
        <ns0:t xml:space="preserve"> </ns0:t>
      </ns0:r>
      <ns0:r>
        <ns0:rPr>
          <ns0:i/>
          <ns0:iCs/>
        </ns0:rPr>
        <ns0:t xml:space="preserve">Nature</ns0:t>
      </ns0:r>
      <ns0:r>
        <ns0:rPr>
          <ns0:i/>
          <ns0:iCs/>
        </ns0:rPr>
        <ns0:t xml:space="preserve"> </ns0:t>
      </ns0:r>
      <ns0:r>
        <ns0:rPr>
          <ns0:i/>
          <ns0:iCs/>
        </ns0:rPr>
        <ns0:t xml:space="preserve">Communications</ns0:t>
      </ns0:r>
      <ns0:r>
        <ns0:t xml:space="preserve">,</ns0:t>
      </ns0:r>
      <ns0:r>
        <ns0:t xml:space="preserve"> </ns0:t>
      </ns0:r>
      <ns0:r>
        <ns0:rPr>
          <ns0:i/>
          <ns0:iCs/>
        </ns0:rPr>
        <ns0:t xml:space="preserve">17</ns0:t>
      </ns0:r>
      <ns0:r>
        <ns0:t xml:space="preserve">(1), Article 3069.</ns0:t>
      </ns0:r>
      <ns0:r>
        <ns0:t xml:space="preserve"> </ns0:t>
      </ns0:r>
      <ns0:r>
        <ns0:t xml:space="preserve">https://doi.org/10.1038/s41467-026-69897-w</ns0:t>
      </ns0:r>
    </ns0:p>
    <ns0:p>
      <ns0:pPr>
        <ns0:pStyle ns0:val="af"/>
      </ns0:pPr>
      <ns0:r>
        <ns0:t xml:space="preserve">e-Stat. (n.d.).</ns0:t>
      </ns0:r>
      <ns0:r>
        <ns0:t xml:space="preserve"> </ns0:t>
      </ns0:r>
      <ns0:r>
        <ns0:rPr>
          <ns0:i/>
          <ns0:iCs/>
        </ns0:rPr>
        <ns0:t xml:space="preserve">Nation Survey on the State of Discharge and Treatment of</ns0:t>
      </ns0:r>
      <ns0:r>
        <ns0:rPr>
          <ns0:i/>
          <ns0:iCs/>
        </ns0:rPr>
        <ns0:t xml:space="preserve"> </ns0:t>
      </ns0:r>
      <ns0:r>
        <ns0:rPr>
          <ns0:i/>
          <ns0:iCs/>
        </ns0:rPr>
        <ns0:t xml:space="preserve">Municipal Solid Waste</ns0:t>
      </ns0:r>
      <ns0:r>
        <ns0:t xml:space="preserve"> </ns0:t>
      </ns0:r>
      <ns0:r>
        <ns0:t xml:space="preserve">(Statistics code 00650101). Portal Site of Official</ns0:t>
      </ns0:r>
      <ns0:r>
        <ns0:t xml:space="preserve"> </ns0:t>
      </ns0:r>
      <ns0:r>
        <ns0:t xml:space="preserve">Statistics of Japan. https://www.e-stat.go.jp/en/statistics/00650101 (accessed</ns0:t>
      </ns0:r>
      <ns0:r>
        <ns0:t xml:space="preserve"> </ns0:t>
      </ns0:r>
      <ns0:r>
        <ns0:t xml:space="preserve">10 July 2026).</ns0:t>
      </ns0:r>
    </ns0:p>
    <ns0:p>
      <ns0:pPr>
        <ns0:pStyle ns0:val="af"/>
      </ns0:pPr>
      <ns0:r>
        <ns0:t xml:space="preserve">European Commission. (2017).</ns0:t>
      </ns0:r>
      <ns0:r>
        <ns0:t xml:space="preserve"> </ns0:t>
      </ns0:r>
      <ns0:r>
        <ns0:rPr>
          <ns0:i/>
          <ns0:iCs/>
        </ns0:rPr>
        <ns0:t xml:space="preserve">The role of waste-to-energy in the circular</ns0:t>
      </ns0:r>
      <ns0:r>
        <ns0:rPr>
          <ns0:i/>
          <ns0:iCs/>
        </ns0:rPr>
        <ns0:t xml:space="preserve"> </ns0:t>
      </ns0:r>
      <ns0:r>
        <ns0:rPr>
          <ns0:i/>
          <ns0:iCs/>
        </ns0:rPr>
        <ns0:t xml:space="preserve">economy</ns0:t>
      </ns0:r>
      <ns0:r>
        <ns0:t xml:space="preserve"> </ns0:t>
      </ns0:r>
      <ns0:r>
        <ns0:t xml:space="preserve">(COM(2017) 34 final). European Commission.</ns0:t>
      </ns0:r>
      <ns0:r>
        <ns0:t xml:space="preserve"> </ns0:t>
      </ns0:r>
      <ns0:r>
        <ns0:t xml:space="preserve">https://eur-lex.europa.eu/legal-content/EN/TXT/?uri=CELEX:52017DC0034</ns0:t>
      </ns0:r>
    </ns0:p>
    <ns0:p>
      <ns0:pPr>
        <ns0:pStyle ns0:val="af"/>
      </ns0:pPr>
      <ns0:r>
        <ns0:t xml:space="preserve">Firth, D. (1993). Bias reduction of maximum likelihood estimates.</ns0:t>
      </ns0:r>
      <ns0:r>
        <ns0:t xml:space="preserve"> </ns0:t>
      </ns0:r>
      <ns0:r>
        <ns0:rPr>
          <ns0:i/>
          <ns0:iCs/>
        </ns0:rPr>
        <ns0:t xml:space="preserve">Biometrika</ns0:t>
      </ns0:r>
      <ns0:r>
        <ns0:t xml:space="preserve">,</ns0:t>
      </ns0:r>
      <ns0:r>
        <ns0:t xml:space="preserve"> </ns0:t>
      </ns0:r>
      <ns0:r>
        <ns0:rPr>
          <ns0:i/>
          <ns0:iCs/>
        </ns0:rPr>
        <ns0:t xml:space="preserve">80</ns0:t>
      </ns0:r>
      <ns0:r>
        <ns0:t xml:space="preserve">(1), 27-38. https://doi.org/10.1093/biomet/80.1.27</ns0:t>
      </ns0:r>
    </ns0:p>
    <ns0:p>
      <ns0:pPr>
        <ns0:pStyle ns0:val="af"/>
      </ns0:pPr>
      <ns0:r>
        <ns0:t xml:space="preserve">Geels, F. W. (2004). From sectoral systems of innovation to socio-technical</ns0:t>
      </ns0:r>
      <ns0:r>
        <ns0:t xml:space="preserve"> </ns0:t>
      </ns0:r>
      <ns0:r>
        <ns0:t xml:space="preserve">systems: Insights about dynamics and change from sociology and institutional</ns0:t>
      </ns0:r>
      <ns0:r>
        <ns0:t xml:space="preserve"> </ns0:t>
      </ns0:r>
      <ns0:r>
        <ns0:t xml:space="preserve">theory.</ns0:t>
      </ns0:r>
      <ns0:r>
        <ns0:t xml:space="preserve"> </ns0:t>
      </ns0:r>
      <ns0:r>
        <ns0:rPr>
          <ns0:i/>
          <ns0:iCs/>
        </ns0:rPr>
        <ns0:t xml:space="preserve">Research Policy</ns0:t>
      </ns0:r>
      <ns0:r>
        <ns0:t xml:space="preserve">,</ns0:t>
      </ns0:r>
      <ns0:r>
        <ns0:t xml:space="preserve"> </ns0:t>
      </ns0:r>
      <ns0:r>
        <ns0:rPr>
          <ns0:i/>
          <ns0:iCs/>
        </ns0:rPr>
        <ns0:t xml:space="preserve">33</ns0:t>
      </ns0:r>
      <ns0:r>
        <ns0:t xml:space="preserve">(6-7), 897-920.</ns0:t>
      </ns0:r>
      <ns0:r>
        <ns0:t xml:space="preserve"> </ns0:t>
      </ns0:r>
      <ns0:r>
        <ns0:t xml:space="preserve">https://doi.org/10.1016/j.respol.2004.01.015</ns0:t>
      </ns0:r>
    </ns0:p>
    <ns0:p>
      <ns0:pPr>
        <ns0:pStyle ns0:val="af"/>
      </ns0:pPr>
      <ns0:r>
        <ns0:t xml:space="preserve">Grosso, M., Motta, A., &amp; Rigamonti, L. (2010). Efficiency of energy recovery</ns0:t>
      </ns0:r>
      <ns0:r>
        <ns0:t xml:space="preserve"> </ns0:t>
      </ns0:r>
      <ns0:r>
        <ns0:t xml:space="preserve">from waste incineration, in the light of the new Waste Framework Directive.</ns0:t>
      </ns0:r>
      <ns0:r>
        <ns0:t xml:space="preserve"> </ns0:t>
      </ns0:r>
      <ns0:r>
        <ns0:rPr>
          <ns0:i/>
          <ns0:iCs/>
        </ns0:rPr>
        <ns0:t xml:space="preserve">Waste Management</ns0:t>
      </ns0:r>
      <ns0:r>
        <ns0:t xml:space="preserve">,</ns0:t>
      </ns0:r>
      <ns0:r>
        <ns0:t xml:space="preserve"> </ns0:t>
      </ns0:r>
      <ns0:r>
        <ns0:rPr>
          <ns0:i/>
          <ns0:iCs/>
        </ns0:rPr>
        <ns0:t xml:space="preserve">30</ns0:t>
      </ns0:r>
      <ns0:r>
        <ns0:t xml:space="preserve">(7), 1238-1243.</ns0:t>
      </ns0:r>
      <ns0:r>
        <ns0:t xml:space="preserve"> </ns0:t>
      </ns0:r>
      <ns0:r>
        <ns0:t xml:space="preserve">https://doi.org/10.1016/j.wasman.2010.02.036</ns0:t>
      </ns0:r>
    </ns0:p>
    <ns0:p>
      <ns0:pPr>
        <ns0:pStyle ns0:val="af"/>
      </ns0:pPr>
      <ns0:r>
        <ns0:t xml:space="preserve">Han, Q.-l., Liu, H.-q., Gong, Y.-y., Tao, J.-y., Sun, Y.-n., Wei, G.-x., Zhu,</ns0:t>
      </ns0:r>
      <ns0:r>
        <ns0:t xml:space="preserve"> </ns0:t>
      </ns0:r>
      <ns0:r>
        <ns0:t xml:space="preserve">Y.-w., &amp; Chen, G.-y. (2025). Strengthening pollutant control and resource</ns0:t>
      </ns0:r>
      <ns0:r>
        <ns0:t xml:space="preserve"> </ns0:t>
      </ns0:r>
      <ns0:r>
        <ns0:t xml:space="preserve">recovery can enhance sustainable waste incineration in China.</ns0:t>
      </ns0:r>
      <ns0:r>
        <ns0:t xml:space="preserve"> </ns0:t>
      </ns0:r>
      <ns0:r>
        <ns0:rPr>
          <ns0:i/>
          <ns0:iCs/>
        </ns0:rPr>
        <ns0:t xml:space="preserve">Communications</ns0:t>
      </ns0:r>
      <ns0:r>
        <ns0:rPr>
          <ns0:i/>
          <ns0:iCs/>
        </ns0:rPr>
        <ns0:t xml:space="preserve"> </ns0:t>
      </ns0:r>
      <ns0:r>
        <ns0:rPr>
          <ns0:i/>
          <ns0:iCs/>
        </ns0:rPr>
        <ns0:t xml:space="preserve">Earth &amp; Environment</ns0:t>
      </ns0:r>
      <ns0:r>
        <ns0:t xml:space="preserve">,</ns0:t>
      </ns0:r>
      <ns0:r>
        <ns0:t xml:space="preserve"> </ns0:t>
      </ns0:r>
      <ns0:r>
        <ns0:rPr>
          <ns0:i/>
          <ns0:iCs/>
        </ns0:rPr>
        <ns0:t xml:space="preserve">6</ns0:t>
      </ns0:r>
      <ns0:r>
        <ns0:t xml:space="preserve">, Article 863.</ns0:t>
      </ns0:r>
      <ns0:r>
        <ns0:t xml:space="preserve"> </ns0:t>
      </ns0:r>
      <ns0:r>
        <ns0:t xml:space="preserve">https://doi.org/10.1038/s43247-025-02859-0</ns0:t>
      </ns0:r>
    </ns0:p>
    <ns0:p>
      <ns0:pPr>
        <ns0:pStyle ns0:val="af"/>
      </ns0:pPr>
      <ns0:r>
        <ns0:t xml:space="preserve">Harron, K., Doidge, J. C., &amp; Goldstein, H. (2020). Assessing data linkage</ns0:t>
      </ns0:r>
      <ns0:r>
        <ns0:t xml:space="preserve"> </ns0:t>
      </ns0:r>
      <ns0:r>
        <ns0:t xml:space="preserve">quality in cohort studies.</ns0:t>
      </ns0:r>
      <ns0:r>
        <ns0:t xml:space="preserve"> </ns0:t>
      </ns0:r>
      <ns0:r>
        <ns0:rPr>
          <ns0:i/>
          <ns0:iCs/>
        </ns0:rPr>
        <ns0:t xml:space="preserve">Annals of Human Biology</ns0:t>
      </ns0:r>
      <ns0:r>
        <ns0:t xml:space="preserve">,</ns0:t>
      </ns0:r>
      <ns0:r>
        <ns0:t xml:space="preserve"> </ns0:t>
      </ns0:r>
      <ns0:r>
        <ns0:rPr>
          <ns0:i/>
          <ns0:iCs/>
        </ns0:rPr>
        <ns0:t xml:space="preserve">47</ns0:t>
      </ns0:r>
      <ns0:r>
        <ns0:t xml:space="preserve">(2), 218-226.</ns0:t>
      </ns0:r>
      <ns0:r>
        <ns0:t xml:space="preserve"> </ns0:t>
      </ns0:r>
      <ns0:r>
        <ns0:t xml:space="preserve">https://doi.org/10.1080/03014460.2020.1742379</ns0:t>
      </ns0:r>
    </ns0:p>
    <ns0:p>
      <ns0:pPr>
        <ns0:pStyle ns0:val="af"/>
      </ns0:pPr>
      <ns0:r>
        <ns0:t xml:space="preserve">Heinze, G., &amp; Schemper, M. (2002). A solution to the problem of separation in</ns0:t>
      </ns0:r>
      <ns0:r>
        <ns0:t xml:space="preserve"> </ns0:t>
      </ns0:r>
      <ns0:r>
        <ns0:t xml:space="preserve">logistic regression.</ns0:t>
      </ns0:r>
      <ns0:r>
        <ns0:t xml:space="preserve"> </ns0:t>
      </ns0:r>
      <ns0:r>
        <ns0:rPr>
          <ns0:i/>
          <ns0:iCs/>
        </ns0:rPr>
        <ns0:t xml:space="preserve">Statistics in Medicine</ns0:t>
      </ns0:r>
      <ns0:r>
        <ns0:t xml:space="preserve">,</ns0:t>
      </ns0:r>
      <ns0:r>
        <ns0:t xml:space="preserve"> </ns0:t>
      </ns0:r>
      <ns0:r>
        <ns0:rPr>
          <ns0:i/>
          <ns0:iCs/>
        </ns0:rPr>
        <ns0:t xml:space="preserve">21</ns0:t>
      </ns0:r>
      <ns0:r>
        <ns0:t xml:space="preserve">(16), 2409-2419.</ns0:t>
      </ns0:r>
      <ns0:r>
        <ns0:t xml:space="preserve"> </ns0:t>
      </ns0:r>
      <ns0:r>
        <ns0:t xml:space="preserve">https://doi.org/10.1002/sim.1047</ns0:t>
      </ns0:r>
    </ns0:p>
    <ns0:p>
      <ns0:pPr>
        <ns0:pStyle ns0:val="af"/>
      </ns0:pPr>
      <ns0:r>
        <ns0:t xml:space="preserve">Liu, B., Wang, P., Zhou, J., Guo, Y., Ma, S., Chen, W.-Q., Li, J., &amp; Chang,</ns0:t>
      </ns0:r>
      <ns0:r>
        <ns0:t xml:space="preserve"> </ns0:t>
      </ns0:r>
      <ns0:r>
        <ns0:t xml:space="preserve">V. W.-C. (2025). Refocusing on effectiveness over expansion in urban</ns0:t>
      </ns0:r>
      <ns0:r>
        <ns0:t xml:space="preserve"> </ns0:t>
      </ns0:r>
      <ns0:r>
        <ns0:t xml:space="preserve">waste-energy-carbon development in China.</ns0:t>
      </ns0:r>
      <ns0:r>
        <ns0:t xml:space="preserve"> </ns0:t>
      </ns0:r>
      <ns0:r>
        <ns0:rPr>
          <ns0:i/>
          <ns0:iCs/>
        </ns0:rPr>
        <ns0:t xml:space="preserve">Nature Energy</ns0:t>
      </ns0:r>
      <ns0:r>
        <ns0:t xml:space="preserve">,</ns0:t>
      </ns0:r>
      <ns0:r>
        <ns0:t xml:space="preserve"> </ns0:t>
      </ns0:r>
      <ns0:r>
        <ns0:rPr>
          <ns0:i/>
          <ns0:iCs/>
        </ns0:rPr>
        <ns0:t xml:space="preserve">10</ns0:t>
      </ns0:r>
      <ns0:r>
        <ns0:t xml:space="preserve">, 215-225.</ns0:t>
      </ns0:r>
      <ns0:r>
        <ns0:t xml:space="preserve"> </ns0:t>
      </ns0:r>
      <ns0:r>
        <ns0:t xml:space="preserve">https://doi.org/10.1038/s41560-024-01683-8</ns0:t>
      </ns0:r>
    </ns0:p>
    <ns0:p>
      <ns0:pPr>
        <ns0:pStyle ns0:val="af"/>
      </ns0:pPr>
      <ns0:r>
        <ns0:t xml:space="preserve">Lombardi, L., Carnevale, E., &amp; Corti, A. (2015). A review of technologies and</ns0:t>
      </ns0:r>
      <ns0:r>
        <ns0:t xml:space="preserve"> </ns0:t>
      </ns0:r>
      <ns0:r>
        <ns0:t xml:space="preserve">performances of thermal treatment systems for energy recovery from waste.</ns0:t>
      </ns0:r>
      <ns0:r>
        <ns0:t xml:space="preserve"> </ns0:t>
      </ns0:r>
      <ns0:r>
        <ns0:rPr>
          <ns0:i/>
          <ns0:iCs/>
        </ns0:rPr>
        <ns0:t xml:space="preserve">Waste Management</ns0:t>
      </ns0:r>
      <ns0:r>
        <ns0:t xml:space="preserve">,</ns0:t>
      </ns0:r>
      <ns0:r>
        <ns0:t xml:space="preserve"> </ns0:t>
      </ns0:r>
      <ns0:r>
        <ns0:rPr>
          <ns0:i/>
          <ns0:iCs/>
        </ns0:rPr>
        <ns0:t xml:space="preserve">37</ns0:t>
      </ns0:r>
      <ns0:r>
        <ns0:t xml:space="preserve">, 26-44.</ns0:t>
      </ns0:r>
      <ns0:r>
        <ns0:t xml:space="preserve"> </ns0:t>
      </ns0:r>
      <ns0:r>
        <ns0:t xml:space="preserve">https://doi.org/10.1016/j.wasman.2014.11.010</ns0:t>
      </ns0:r>
    </ns0:p>
    <ns0:p>
      <ns0:pPr>
        <ns0:pStyle ns0:val="af"/>
      </ns0:pPr>
      <ns0:r>
        <ns0:t xml:space="preserve">Ministry of the Environment Japan. (n.d.).</ns0:t>
      </ns0:r>
      <ns0:r>
        <ns0:t xml:space="preserve"> </ns0:t>
      </ns0:r>
      <ns0:r>
        <ns0:rPr>
          <ns0:i/>
          <ns0:iCs/>
        </ns0:rPr>
        <ns0:t xml:space="preserve">High-efficiency waste power</ns0:t>
      </ns0:r>
      <ns0:r>
        <ns0:rPr>
          <ns0:i/>
          <ns0:iCs/>
        </ns0:rPr>
        <ns0:t xml:space="preserve"> </ns0:t>
      </ns0:r>
      <ns0:r>
        <ns0:rPr>
          <ns0:i/>
          <ns0:iCs/>
        </ns0:rPr>
        <ns0:t xml:space="preserve">generation facility development manual</ns0:t>
      </ns0:r>
      <ns0:r>
        <ns0:t xml:space="preserve">. Ministry of the Environment Japan.</ns0:t>
      </ns0:r>
      <ns0:r>
        <ns0:t xml:space="preserve"> </ns0:t>
      </ns0:r>
      <ns0:r>
        <ns0:t xml:space="preserve">https://www.env.go.jp/recycle/misc/he-wge_facil/ (accessed 17 July 2026).</ns0:t>
      </ns0:r>
    </ns0:p>
    <ns0:p>
      <ns0:pPr>
        <ns0:pStyle ns0:val="af"/>
      </ns0:pPr>
      <ns0:r>
        <ns0:t xml:space="preserve">Ministry of the Environment Japan. (2014).</ns0:t>
      </ns0:r>
      <ns0:r>
        <ns0:t xml:space="preserve"> </ns0:t>
      </ns0:r>
      <ns0:r>
        <ns0:rPr>
          <ns0:i/>
          <ns0:iCs/>
        </ns0:rPr>
        <ns0:t xml:space="preserve">FY2014 waste-energy introduction</ns0:t>
      </ns0:r>
      <ns0:r>
        <ns0:rPr>
          <ns0:i/>
          <ns0:iCs/>
        </ns0:rPr>
        <ns0:t xml:space="preserve"> </ns0:t>
      </ns0:r>
      <ns0:r>
        <ns0:rPr>
          <ns0:i/>
          <ns0:iCs/>
        </ns0:rPr>
        <ns0:t xml:space="preserve">and low-carbon promotion project: Application guidelines</ns0:t>
      </ns0:r>
      <ns0:r>
        <ns0:t xml:space="preserve">. Ministry of the</ns0:t>
      </ns0:r>
      <ns0:r>
        <ns0:t xml:space="preserve"> </ns0:t>
      </ns0:r>
      <ns0:r>
        <ns0:t xml:space="preserve">Environment Japan. https://www.env.go.jp/recycle/info/ondanka/kobo.html</ns0:t>
      </ns0:r>
      <ns0:r>
        <ns0:t xml:space="preserve"> </ns0:t>
      </ns0:r>
      <ns0:r>
        <ns0:t xml:space="preserve">(accessed 17 July 2026).</ns0:t>
      </ns0:r>
    </ns0:p>
    <ns0:p>
      <ns0:pPr>
        <ns0:pStyle ns0:val="af"/>
      </ns0:pPr>
      <ns0:r>
        <ns0:t xml:space="preserve">Ministry of the Environment Japan. (2026).</ns0:t>
      </ns0:r>
      <ns0:r>
        <ns0:t xml:space="preserve"> </ns0:t>
      </ns0:r>
      <ns0:r>
        <ns0:rPr>
          <ns0:i/>
          <ns0:iCs/>
        </ns0:rPr>
        <ns0:t xml:space="preserve">General Waste Treatment Survey</ns0:t>
      </ns0:r>
      <ns0:r>
        <ns0:rPr>
          <ns0:i/>
          <ns0:iCs/>
        </ns0:rPr>
        <ns0:t xml:space="preserve"> </ns0:t>
      </ns0:r>
      <ns0:r>
        <ns0:rPr>
          <ns0:i/>
          <ns0:iCs/>
        </ns0:rPr>
        <ns0:t xml:space="preserve">results: FY2024 municipal solid waste treatment survey</ns0:t>
      </ns0:r>
      <ns0:r>
        <ns0:t xml:space="preserve">. Environmental</ns0:t>
      </ns0:r>
      <ns0:r>
        <ns0:t xml:space="preserve"> </ns0:t>
      </ns0:r>
      <ns0:r>
        <ns0:t xml:space="preserve">Management Bureau, Ministry of the Environment Japan.</ns0:t>
      </ns0:r>
      <ns0:r>
        <ns0:t xml:space="preserve"> </ns0:t>
      </ns0:r>
      <ns0:r>
        <ns0:t xml:space="preserve">https://www.env.go.jp/recycle/waste_tech/ippan/ (accessed 10 July 2026).</ns0:t>
      </ns0:r>
    </ns0:p>
    <ns0:p>
      <ns0:pPr>
        <ns0:pStyle ns0:val="af"/>
      </ns0:pPr>
      <ns0:r>
        <ns0:t xml:space="preserve">Münster, M., &amp; Meibom, P. (2010). Long-term affected energy production of waste</ns0:t>
      </ns0:r>
      <ns0:r>
        <ns0:t xml:space="preserve"> </ns0:t>
      </ns0:r>
      <ns0:r>
        <ns0:t xml:space="preserve">to energy technologies identified by use of energy system analysis.</ns0:t>
      </ns0:r>
      <ns0:r>
        <ns0:t xml:space="preserve"> </ns0:t>
      </ns0:r>
      <ns0:r>
        <ns0:rPr>
          <ns0:i/>
          <ns0:iCs/>
        </ns0:rPr>
        <ns0:t xml:space="preserve">Waste Management</ns0:t>
      </ns0:r>
      <ns0:r>
        <ns0:t xml:space="preserve">,</ns0:t>
      </ns0:r>
      <ns0:r>
        <ns0:t xml:space="preserve"> </ns0:t>
      </ns0:r>
      <ns0:r>
        <ns0:rPr>
          <ns0:i/>
          <ns0:iCs/>
        </ns0:rPr>
        <ns0:t xml:space="preserve">30</ns0:t>
      </ns0:r>
      <ns0:r>
        <ns0:t xml:space="preserve">(12), 2510-2519.</ns0:t>
      </ns0:r>
      <ns0:r>
        <ns0:t xml:space="preserve"> </ns0:t>
      </ns0:r>
      <ns0:r>
        <ns0:t xml:space="preserve">https://doi.org/10.1016/j.wasman.2010.04.015</ns0:t>
      </ns0:r>
    </ns0:p>
    <ns0:p>
      <ns0:pPr>
        <ns0:pStyle ns0:val="af"/>
      </ns0:pPr>
      <ns0:r>
        <ns0:t xml:space="preserve">Sakai, S., Ikematsu, T., Hirai, Y., &amp; Yoshida, H. (2008). Unit-charging</ns0:t>
      </ns0:r>
      <ns0:r>
        <ns0:t xml:space="preserve"> </ns0:t>
      </ns0:r>
      <ns0:r>
        <ns0:t xml:space="preserve">programs for municipal solid waste in Japan.</ns0:t>
      </ns0:r>
      <ns0:r>
        <ns0:t xml:space="preserve"> </ns0:t>
      </ns0:r>
      <ns0:r>
        <ns0:rPr>
          <ns0:i/>
          <ns0:iCs/>
        </ns0:rPr>
        <ns0:t xml:space="preserve">Waste Management</ns0:t>
      </ns0:r>
      <ns0:r>
        <ns0:t xml:space="preserve">,</ns0:t>
      </ns0:r>
      <ns0:r>
        <ns0:t xml:space="preserve"> </ns0:t>
      </ns0:r>
      <ns0:r>
        <ns0:rPr>
          <ns0:i/>
          <ns0:iCs/>
        </ns0:rPr>
        <ns0:t xml:space="preserve">28</ns0:t>
      </ns0:r>
      <ns0:r>
        <ns0:t xml:space="preserve">(12),</ns0:t>
      </ns0:r>
      <ns0:r>
        <ns0:t xml:space="preserve"> </ns0:t>
      </ns0:r>
      <ns0:r>
        <ns0:t xml:space="preserve">2815-2825. https://doi.org/10.1016/j.wasman.2008.07.010</ns0:t>
      </ns0:r>
    </ns0:p>
    <ns0:p>
      <ns0:pPr>
        <ns0:pStyle ns0:val="af"/>
      </ns0:pPr>
      <ns0:r>
        <ns0:t xml:space="preserve">Sakai, S.-i., Yoshida, H., Hirai, Y., Asari, M., Takigami, H., Takahashi, S.,</ns0:t>
      </ns0:r>
      <ns0:r>
        <ns0:t xml:space="preserve"> </ns0:t>
      </ns0:r>
      <ns0:r>
        <ns0:t xml:space="preserve">Tomoda, K., Peeler, M. V., Wejchert, J., Schmid-Unterseh, T., Ravazzi Douvan,</ns0:t>
      </ns0:r>
      <ns0:r>
        <ns0:t xml:space="preserve"> </ns0:t>
      </ns0:r>
      <ns0:r>
        <ns0:t xml:space="preserve">A., Hathaway, R., Hylander, L. D., Fischer, C., Oh, G. J., Li, J., &amp; Chi, N. K.</ns0:t>
      </ns0:r>
      <ns0:r>
        <ns0:t xml:space="preserve"> </ns0:t>
      </ns0:r>
      <ns0:r>
        <ns0:t xml:space="preserve">(2011). International comparative study of 3R and waste management policy</ns0:t>
      </ns0:r>
      <ns0:r>
        <ns0:t xml:space="preserve"> </ns0:t>
      </ns0:r>
      <ns0:r>
        <ns0:t xml:space="preserve">developments.</ns0:t>
      </ns0:r>
      <ns0:r>
        <ns0:t xml:space="preserve"> </ns0:t>
      </ns0:r>
      <ns0:r>
        <ns0:rPr>
          <ns0:i/>
          <ns0:iCs/>
        </ns0:rPr>
        <ns0:t xml:space="preserve">Journal of Material Cycles and Waste Management</ns0:t>
      </ns0:r>
      <ns0:r>
        <ns0:t xml:space="preserve">,</ns0:t>
      </ns0:r>
      <ns0:r>
        <ns0:t xml:space="preserve"> </ns0:t>
      </ns0:r>
      <ns0:r>
        <ns0:rPr>
          <ns0:i/>
          <ns0:iCs/>
        </ns0:rPr>
        <ns0:t xml:space="preserve">13</ns0:t>
      </ns0:r>
      <ns0:r>
        <ns0:t xml:space="preserve">(2),</ns0:t>
      </ns0:r>
      <ns0:r>
        <ns0:t xml:space="preserve"> </ns0:t>
      </ns0:r>
      <ns0:r>
        <ns0:t xml:space="preserve">86-102. https://doi.org/10.1007/s10163-011-0009-x</ns0:t>
      </ns0:r>
    </ns0:p>
    <ns0:p>
      <ns0:pPr>
        <ns0:pStyle ns0:val="af"/>
      </ns0:pPr>
      <ns0:r>
        <ns0:t xml:space="preserve">Sasao, T. (2018). How does municipal solid waste policy affect heat and</ns0:t>
      </ns0:r>
      <ns0:r>
        <ns0:t xml:space="preserve"> </ns0:t>
      </ns0:r>
      <ns0:r>
        <ns0:t xml:space="preserve">electricity produced by incinerators?</ns0:t>
      </ns0:r>
      <ns0:r>
        <ns0:t xml:space="preserve"> </ns0:t>
      </ns0:r>
      <ns0:r>
        <ns0:rPr>
          <ns0:i/>
          <ns0:iCs/>
        </ns0:rPr>
        <ns0:t xml:space="preserve">Detritus</ns0:t>
      </ns0:r>
      <ns0:r>
        <ns0:t xml:space="preserve">,</ns0:t>
      </ns0:r>
      <ns0:r>
        <ns0:t xml:space="preserve"> </ns0:t>
      </ns0:r>
      <ns0:r>
        <ns0:rPr>
          <ns0:i/>
          <ns0:iCs/>
        </ns0:rPr>
        <ns0:t xml:space="preserve">2</ns0:t>
      </ns0:r>
      <ns0:r>
        <ns0:t xml:space="preserve">, 133-141.</ns0:t>
      </ns0:r>
      <ns0:r>
        <ns0:t xml:space="preserve"> </ns0:t>
      </ns0:r>
      <ns0:r>
        <ns0:t xml:space="preserve">https://doi.org/10.31025/2611-4135/2018.13650</ns0:t>
      </ns0:r>
    </ns0:p>
    <ns0:p>
      <ns0:pPr>
        <ns0:pStyle ns0:val="af"/>
      </ns0:pPr>
      <ns0:r>
        <ns0:t xml:space="preserve">Seto, K. C., Davis, S. J., Mitchell, R. B., Stokes, E. C., Unruh, G., &amp;</ns0:t>
      </ns0:r>
      <ns0:r>
        <ns0:t xml:space="preserve"> </ns0:t>
      </ns0:r>
      <ns0:r>
        <ns0:t xml:space="preserve">Ürge-Vorsatz, D. (2016). Carbon lock-in: Types, causes, and policy</ns0:t>
      </ns0:r>
      <ns0:r>
        <ns0:t xml:space="preserve"> </ns0:t>
      </ns0:r>
      <ns0:r>
        <ns0:t xml:space="preserve">implications.</ns0:t>
      </ns0:r>
      <ns0:r>
        <ns0:t xml:space="preserve"> </ns0:t>
      </ns0:r>
      <ns0:r>
        <ns0:rPr>
          <ns0:i/>
          <ns0:iCs/>
        </ns0:rPr>
        <ns0:t xml:space="preserve">Annual Review of Environment and Resources</ns0:t>
      </ns0:r>
      <ns0:r>
        <ns0:t xml:space="preserve">,</ns0:t>
      </ns0:r>
      <ns0:r>
        <ns0:t xml:space="preserve"> </ns0:t>
      </ns0:r>
      <ns0:r>
        <ns0:rPr>
          <ns0:i/>
          <ns0:iCs/>
        </ns0:rPr>
        <ns0:t xml:space="preserve">41</ns0:t>
      </ns0:r>
      <ns0:r>
        <ns0:t xml:space="preserve">(1), 425-452.</ns0:t>
      </ns0:r>
      <ns0:r>
        <ns0:t xml:space="preserve"> </ns0:t>
      </ns0:r>
      <ns0:r>
        <ns0:t xml:space="preserve">https://doi.org/10.1146/annurev-environ-110615-085934</ns0:t>
      </ns0:r>
    </ns0:p>
    <ns0:p>
      <ns0:pPr>
        <ns0:pStyle ns0:val="af"/>
      </ns0:pPr>
      <ns0:r>
        <ns0:t xml:space="preserve">Shino, Y. (2019). System analysis of MSW incinerator power generation</ns0:t>
      </ns0:r>
      <ns0:r>
        <ns0:t xml:space="preserve"> </ns0:t>
      </ns0:r>
      <ns0:r>
        <ns0:t xml:space="preserve">performance.</ns0:t>
      </ns0:r>
      <ns0:r>
        <ns0:t xml:space="preserve"> </ns0:t>
      </ns0:r>
      <ns0:r>
        <ns0:rPr>
          <ns0:i/>
          <ns0:iCs/>
        </ns0:rPr>
        <ns0:t xml:space="preserve">Journal of the Japan Society of Material Cycles and Waste</ns0:t>
      </ns0:r>
      <ns0:r>
        <ns0:rPr>
          <ns0:i/>
          <ns0:iCs/>
        </ns0:rPr>
        <ns0:t xml:space="preserve"> </ns0:t>
      </ns0:r>
      <ns0:r>
        <ns0:rPr>
          <ns0:i/>
          <ns0:iCs/>
        </ns0:rPr>
        <ns0:t xml:space="preserve">Management</ns0:t>
      </ns0:r>
      <ns0:r>
        <ns0:t xml:space="preserve">,</ns0:t>
      </ns0:r>
      <ns0:r>
        <ns0:t xml:space="preserve"> </ns0:t>
      </ns0:r>
      <ns0:r>
        <ns0:rPr>
          <ns0:i/>
          <ns0:iCs/>
        </ns0:rPr>
        <ns0:t xml:space="preserve">30</ns0:t>
      </ns0:r>
      <ns0:r>
        <ns0:t xml:space="preserve">, 113-121. https://doi.org/10.3985/jjsmcwm.30.113</ns0:t>
      </ns0:r>
    </ns0:p>
    <ns0:p>
      <ns0:pPr>
        <ns0:pStyle ns0:val="af"/>
      </ns0:pPr>
      <ns0:r>
        <ns0:t xml:space="preserve">Sun, L., Fujii, M., Tasaki, T., Dong, H., &amp; Ohnishi, S. (2018). Improving</ns0:t>
      </ns0:r>
      <ns0:r>
        <ns0:t xml:space="preserve"> </ns0:t>
      </ns0:r>
      <ns0:r>
        <ns0:t xml:space="preserve">waste to energy rate by promoting an integrated municipal solid-waste</ns0:t>
      </ns0:r>
      <ns0:r>
        <ns0:t xml:space="preserve"> </ns0:t>
      </ns0:r>
      <ns0:r>
        <ns0:t xml:space="preserve">management system.</ns0:t>
      </ns0:r>
      <ns0:r>
        <ns0:t xml:space="preserve"> </ns0:t>
      </ns0:r>
      <ns0:r>
        <ns0:rPr>
          <ns0:i/>
          <ns0:iCs/>
        </ns0:rPr>
        <ns0:t xml:space="preserve">Resources, Conservation and Recycling</ns0:t>
      </ns0:r>
      <ns0:r>
        <ns0:t xml:space="preserve">,</ns0:t>
      </ns0:r>
      <ns0:r>
        <ns0:t xml:space="preserve"> </ns0:t>
      </ns0:r>
      <ns0:r>
        <ns0:rPr>
          <ns0:i/>
          <ns0:iCs/>
        </ns0:rPr>
        <ns0:t xml:space="preserve">136</ns0:t>
      </ns0:r>
      <ns0:r>
        <ns0:t xml:space="preserve">, 289-296.</ns0:t>
      </ns0:r>
      <ns0:r>
        <ns0:t xml:space="preserve"> </ns0:t>
      </ns0:r>
      <ns0:r>
        <ns0:t xml:space="preserve">https://doi.org/10.1016/j.resconrec.2018.05.005</ns0:t>
      </ns0:r>
    </ns0:p>
    <ns0:p>
      <ns0:pPr>
        <ns0:pStyle ns0:val="af"/>
      </ns0:pPr>
      <ns0:r>
        <ns0:t xml:space="preserve">Tabata, T., &amp; Tsai, P. (2016). Heat supply from municipal solid waste</ns0:t>
      </ns0:r>
      <ns0:r>
        <ns0:t xml:space="preserve"> </ns0:t>
      </ns0:r>
      <ns0:r>
        <ns0:t xml:space="preserve">incineration plants in Japan: Current situation and future challenges.</ns0:t>
      </ns0:r>
      <ns0:r>
        <ns0:t xml:space="preserve"> </ns0:t>
      </ns0:r>
      <ns0:r>
        <ns0:rPr>
          <ns0:i/>
          <ns0:iCs/>
        </ns0:rPr>
        <ns0:t xml:space="preserve">Waste</ns0:t>
      </ns0:r>
      <ns0:r>
        <ns0:rPr>
          <ns0:i/>
          <ns0:iCs/>
        </ns0:rPr>
        <ns0:t xml:space="preserve"> </ns0:t>
      </ns0:r>
      <ns0:r>
        <ns0:rPr>
          <ns0:i/>
          <ns0:iCs/>
        </ns0:rPr>
        <ns0:t xml:space="preserve">Management &amp; Research</ns0:t>
      </ns0:r>
      <ns0:r>
        <ns0:t xml:space="preserve">,</ns0:t>
      </ns0:r>
      <ns0:r>
        <ns0:t xml:space="preserve"> </ns0:t>
      </ns0:r>
      <ns0:r>
        <ns0:rPr>
          <ns0:i/>
          <ns0:iCs/>
        </ns0:rPr>
        <ns0:t xml:space="preserve">34</ns0:t>
      </ns0:r>
      <ns0:r>
        <ns0:t xml:space="preserve">(2), 148-155.</ns0:t>
      </ns0:r>
      <ns0:r>
        <ns0:t xml:space="preserve"> </ns0:t>
      </ns0:r>
      <ns0:r>
        <ns0:t xml:space="preserve">https://doi.org/10.1177/0734242X15617009</ns0:t>
      </ns0:r>
    </ns0:p>
    <ns0:p>
      <ns0:pPr>
        <ns0:pStyle ns0:val="af"/>
      </ns0:pPr>
      <ns0:r>
        <ns0:t xml:space="preserve">Uno, S. (2015). Trends in Waste-to-Energy Technologies for High Efficiency</ns0:t>
      </ns0:r>
      <ns0:r>
        <ns0:t xml:space="preserve"> </ns0:t>
      </ns0:r>
      <ns0:r>
        <ns0:t xml:space="preserve">Power Generation.</ns0:t>
      </ns0:r>
      <ns0:r>
        <ns0:t xml:space="preserve"> </ns0:t>
      </ns0:r>
      <ns0:r>
        <ns0:rPr>
          <ns0:i/>
          <ns0:iCs/>
        </ns0:rPr>
        <ns0:t xml:space="preserve">Material Cycles and Waste Management Research</ns0:t>
      </ns0:r>
      <ns0:r>
        <ns0:t xml:space="preserve">,</ns0:t>
      </ns0:r>
      <ns0:r>
        <ns0:t xml:space="preserve"> </ns0:t>
      </ns0:r>
      <ns0:r>
        <ns0:rPr>
          <ns0:i/>
          <ns0:iCs/>
        </ns0:rPr>
        <ns0:t xml:space="preserve">26</ns0:t>
      </ns0:r>
      <ns0:r>
        <ns0:t xml:space="preserve">(2),</ns0:t>
      </ns0:r>
      <ns0:r>
        <ns0:t xml:space="preserve"> </ns0:t>
      </ns0:r>
      <ns0:r>
        <ns0:t xml:space="preserve">114-119. https://doi.org/10.3985/mcwmr.26.114</ns0:t>
      </ns0:r>
    </ns0:p>
    <ns0:p>
      <ns0:pPr>
        <ns0:pStyle ns0:val="af"/>
      </ns0:pPr>
      <ns0:r>
        <ns0:t xml:space="preserve">Unruh, G. C. (2000). Understanding carbon lock-in.</ns0:t>
      </ns0:r>
      <ns0:r>
        <ns0:t xml:space="preserve"> </ns0:t>
      </ns0:r>
      <ns0:r>
        <ns0:rPr>
          <ns0:i/>
          <ns0:iCs/>
        </ns0:rPr>
        <ns0:t xml:space="preserve">Energy Policy</ns0:t>
      </ns0:r>
      <ns0:r>
        <ns0:t xml:space="preserve">,</ns0:t>
      </ns0:r>
      <ns0:r>
        <ns0:t xml:space="preserve"> </ns0:t>
      </ns0:r>
      <ns0:r>
        <ns0:rPr>
          <ns0:i/>
          <ns0:iCs/>
        </ns0:rPr>
        <ns0:t xml:space="preserve">28</ns0:t>
      </ns0:r>
      <ns0:r>
        <ns0:t xml:space="preserve">(12),</ns0:t>
      </ns0:r>
      <ns0:r>
        <ns0:t xml:space="preserve"> </ns0:t>
      </ns0:r>
      <ns0:r>
        <ns0:t xml:space="preserve">817-830. https://doi.org/10.1016/S0301-4215(00)00070-7</ns0:t>
      </ns0:r>
    </ns0:p>
    <ns0:p>
      <ns0:pPr>
        <ns0:pStyle ns0:val="af"/>
      </ns0:pPr>
      <ns0:r>
        <ns0:t xml:space="preserve">Wooldridge, J. M. (2010).</ns0:t>
      </ns0:r>
      <ns0:r>
        <ns0:t xml:space="preserve"> </ns0:t>
      </ns0:r>
      <ns0:r>
        <ns0:rPr>
          <ns0:i/>
          <ns0:iCs/>
        </ns0:rPr>
        <ns0:t xml:space="preserve">Econometric analysis of cross section and panel</ns0:t>
      </ns0:r>
      <ns0:r>
        <ns0:rPr>
          <ns0:i/>
          <ns0:iCs/>
        </ns0:rPr>
        <ns0:t xml:space="preserve"> </ns0:t>
      </ns0:r>
      <ns0:r>
        <ns0:rPr>
          <ns0:i/>
          <ns0:iCs/>
        </ns0:rPr>
        <ns0:t xml:space="preserve">data</ns0:t>
      </ns0:r>
      <ns0:r>
        <ns0:t xml:space="preserve"> </ns0:t>
      </ns0:r>
      <ns0:r>
        <ns0:t xml:space="preserve">(2nd ed.). MIT Press.</ns0:t>
      </ns0:r>
    </ns0:p>
    <ns0:p>
      <ns0:pPr>
        <ns0:pStyle ns0:val="af"/>
      </ns0:pPr>
      <ns0:r>
        <ns0:t xml:space="preserve">Yamada, K., Ii, R., Yamamoto, M., Ueda, H., &amp; Sakai, S. (2023). Japan’s</ns0:t>
      </ns0:r>
      <ns0:r>
        <ns0:t xml:space="preserve"> </ns0:t>
      </ns0:r>
      <ns0:r>
        <ns0:t xml:space="preserve">greenhouse gas reduction scenarios toward net zero by 2050 in the material</ns0:t>
      </ns0:r>
      <ns0:r>
        <ns0:t xml:space="preserve"> </ns0:t>
      </ns0:r>
      <ns0:r>
        <ns0:t xml:space="preserve">cycles and waste management sector.</ns0:t>
      </ns0:r>
      <ns0:r>
        <ns0:t xml:space="preserve"> </ns0:t>
      </ns0:r>
      <ns0:r>
        <ns0:rPr>
          <ns0:i/>
          <ns0:iCs/>
        </ns0:rPr>
        <ns0:t xml:space="preserve">Journal of Material Cycles and Waste</ns0:t>
      </ns0:r>
      <ns0:r>
        <ns0:rPr>
          <ns0:i/>
          <ns0:iCs/>
        </ns0:rPr>
        <ns0:t xml:space="preserve"> </ns0:t>
      </ns0:r>
      <ns0:r>
        <ns0:rPr>
          <ns0:i/>
          <ns0:iCs/>
        </ns0:rPr>
        <ns0:t xml:space="preserve">Management</ns0:t>
      </ns0:r>
      <ns0:r>
        <ns0:t xml:space="preserve">,</ns0:t>
      </ns0:r>
      <ns0:r>
        <ns0:t xml:space="preserve"> </ns0:t>
      </ns0:r>
      <ns0:r>
        <ns0:rPr>
          <ns0:i/>
          <ns0:iCs/>
        </ns0:rPr>
        <ns0:t xml:space="preserve">25</ns0:t>
      </ns0:r>
      <ns0:r>
        <ns0:t xml:space="preserve">(4), 1807-1823.</ns0:t>
      </ns0:r>
      <ns0:r>
        <ns0:t xml:space="preserve"> </ns0:t>
      </ns0:r>
      <ns0:r>
        <ns0:t xml:space="preserve">https://doi.org/10.1007/s10163-023-01650-7</ns0:t>
      </ns0:r>
    </ns0:p>
    <ns0:p>
      <ns0:pPr>
        <ns0:pStyle ns0:val="af"/>
      </ns0:pPr>
      <ns0:r>
        <ns0:t xml:space="preserve">Yeh, L.-T. (2020). Analysis of the dynamic electricity revenue inefficiencies</ns0:t>
      </ns0:r>
      <ns0:r>
        <ns0:t xml:space="preserve"> </ns0:t>
      </ns0:r>
      <ns0:r>
        <ns0:t xml:space="preserve">of Taiwan’s municipal solid waste incineration plants using data envelopment</ns0:t>
      </ns0:r>
      <ns0:r>
        <ns0:t xml:space="preserve"> </ns0:t>
      </ns0:r>
      <ns0:r>
        <ns0:t xml:space="preserve">analysis.</ns0:t>
      </ns0:r>
      <ns0:r>
        <ns0:t xml:space="preserve"> </ns0:t>
      </ns0:r>
      <ns0:r>
        <ns0:rPr>
          <ns0:i/>
          <ns0:iCs/>
        </ns0:rPr>
        <ns0:t xml:space="preserve">Waste Management</ns0:t>
      </ns0:r>
      <ns0:r>
        <ns0:t xml:space="preserve">,</ns0:t>
      </ns0:r>
      <ns0:r>
        <ns0:t xml:space="preserve"> </ns0:t>
      </ns0:r>
      <ns0:r>
        <ns0:rPr>
          <ns0:i/>
          <ns0:iCs/>
        </ns0:rPr>
        <ns0:t xml:space="preserve">107</ns0:t>
      </ns0:r>
      <ns0:r>
        <ns0:t xml:space="preserve">, 28-35.</ns0:t>
      </ns0:r>
      <ns0:r>
        <ns0:t xml:space="preserve"> </ns0:t>
      </ns0:r>
      <ns0:r>
        <ns0:t xml:space="preserve">https://doi.org/10.1016/j.wasman.2020.03.040</ns0:t>
      </ns0:r>
    </ns0:p>
    <ns0:p>
      <ns0:pPr>
        <ns0:pStyle ns0:val="af"/>
      </ns0:pPr>
      <ns0:r>
        <ns0:t xml:space="preserve">Yoshida, C., Nakao, A., Yoshida, N., &amp; Yamamoto, S. (2018). Evaluation of</ns0:t>
      </ns0:r>
      <ns0:r>
        <ns0:t xml:space="preserve"> </ns0:t>
      </ns0:r>
      <ns0:r>
        <ns0:t xml:space="preserve">energy recovery technology selection in small-scale waste incineration</ns0:t>
      </ns0:r>
      <ns0:r>
        <ns0:t xml:space="preserve"> </ns0:t>
      </ns0:r>
      <ns0:r>
        <ns0:t xml:space="preserve">facility: Estimation of power generation using heat balance analysis.</ns0:t>
      </ns0:r>
      <ns0:r>
        <ns0:t xml:space="preserve"> </ns0:t>
      </ns0:r>
      <ns0:r>
        <ns0:rPr>
          <ns0:i/>
          <ns0:iCs/>
        </ns0:rPr>
        <ns0:t xml:space="preserve">Journal</ns0:t>
      </ns0:r>
      <ns0:r>
        <ns0:rPr>
          <ns0:i/>
          <ns0:iCs/>
        </ns0:rPr>
        <ns0:t xml:space="preserve"> </ns0:t>
      </ns0:r>
      <ns0:r>
        <ns0:rPr>
          <ns0:i/>
          <ns0:iCs/>
        </ns0:rPr>
        <ns0:t xml:space="preserve">of Japan Society of Civil Engineers, Ser. G (Environmental Research)</ns0:t>
      </ns0:r>
      <ns0:r>
        <ns0:t xml:space="preserve">,</ns0:t>
      </ns0:r>
      <ns0:r>
        <ns0:t xml:space="preserve"> </ns0:t>
      </ns0:r>
      <ns0:r>
        <ns0:rPr>
          <ns0:i/>
          <ns0:iCs/>
        </ns0:rPr>
        <ns0:t xml:space="preserve">74</ns0:t>
      </ns0:r>
      <ns0:r>
        <ns0:t xml:space="preserve">(6),</ns0:t>
      </ns0:r>
      <ns0:r>
        <ns0:t xml:space="preserve"> </ns0:t>
      </ns0:r>
      <ns0:r>
        <ns0:t xml:space="preserve">II_287-II_298. https://doi.org/10.2208/jscejer.74.II_287</ns0:t>
      </ns0:r>
    </ns0:p>
    <ns0:bookmarkEnd ns0:id="58"/>
    <ns0:bookmarkStart ns0:id="62" ns0:name="X9d4b0eaacd038b4ec9b736f704d57ad0d7964f5"/>
    <ns0:p>
      <ns0:pPr>
        <ns0:pStyle ns0:val="1"/>
      </ns0:pPr>
      <ns0:r>
        <ns0:t xml:space="preserve">Appendix A. Exploratory post-entry pathway comparison</ns0:t>
      </ns0:r>
    </ns0:p>
    <ns0:p>
      <ns0:pPr>
        <ns0:pStyle ns0:val="FirstParagraph"/>
      </ns0:pPr>
      <ns0:r>
        <ns0:t xml:space="preserve">This secondary analysis is outside the three research questions because the</ns0:t>
      </ns0:r>
      <ns0:r>
        <ns0:t xml:space="preserve"> </ns0:t>
      </ns0:r>
      <ns0:r>
        <ns0:t xml:space="preserve">pathway labels do not verify physical project types and the followed groups are</ns0:t>
      </ns0:r>
      <ns0:r>
        <ns0:t xml:space="preserve"> </ns0:t>
      </ns0:r>
      <ns0:r>
        <ns0:t xml:space="preserve">small. It is retained for hypothesis generation and future investigation, not</ns0:t>
      </ns0:r>
      <ns0:r>
        <ns0:t xml:space="preserve"> </ns0:t>
      </ns0:r>
      <ns0:r>
        <ns0:t xml:space="preserve">as a main thesis finding. The first-complete-year comparison asks where entrants</ns0:t>
      </ns0:r>
      <ns0:r>
        <ns0:t xml:space="preserve"> </ns0:t>
      </ns0:r>
      <ns0:r>
        <ns0:t xml:space="preserve">sit in the same-year generator distribution, not what entry causes. Across the</ns0:t>
      </ns0:r>
      <ns0:r>
        <ns0:t xml:space="preserve"> </ns0:t>
      </ns0:r>
      <ns0:r>
        <ns0:t xml:space="preserve">44 exact-year entrants with an engineering-valid outcome one year after entry,</ns0:t>
      </ns0:r>
      <ns0:r>
        <ns0:t xml:space="preserve"> </ns0:t>
      </ns0:r>
      <ns0:r>
        <ns0:t xml:space="preserve">mean within-year ranks are 51.6% for gross intensity, 48.1% for generator design</ns0:t>
      </ns0:r>
      <ns0:r>
        <ns0:t xml:space="preserve"> </ns0:t>
      </ns0:r>
      <ns0:r>
        <ns0:t xml:space="preserve">intensity, and 56.3% for capacity factor. The pooled entrant therefore lies near</ns0:t>
      </ns0:r>
      <ns0:r>
        <ns0:t xml:space="preserve"> </ns0:t>
      </ns0:r>
      <ns0:r>
        <ns0:t xml:space="preserve">the middle of the contemporaneous generator distribution.</ns0:t>
      </ns0:r>
    </ns0:p>
    <ns0:p>
      <ns0:pPr>
        <ns0:pStyle ns0:val="af"/>
      </ns0:pPr>
      <ns0:r>
        <ns0:t xml:space="preserve">The administrative pathways are heterogeneous. One year after entry, 27</ns0:t>
      </ns0:r>
      <ns0:r>
        <ns0:t xml:space="preserve"> </ns0:t>
      </ns0:r>
      <ns0:r>
        <ns0:t xml:space="preserve">continuity-lineage entrants average 0.260 MWh/t and rank at 40.2% for gross</ns0:t>
      </ns0:r>
      <ns0:r>
        <ns0:t xml:space="preserve"> </ns0:t>
      </ns0:r>
      <ns0:r>
        <ns0:t xml:space="preserve">intensity, 36.8% for generator design intensity, and 53.8% for capacity factor.</ns0:t>
      </ns0:r>
      <ns0:r>
        <ns0:t xml:space="preserve"> </ns0:t>
      </ns0:r>
      <ns0:r>
        <ns0:t xml:space="preserve">Eleven rebuild/replacement-like entrants average 0.442 MWh/t and rank at 72.5%,</ns0:t>
      </ns0:r>
      <ns0:r>
        <ns0:t xml:space="preserve"> </ns0:t>
      </ns0:r>
      <ns0:r>
        <ns0:t xml:space="preserve">66.1%, and 65.5%, respectively. Six forward-dated or placeholder observations</ns0:t>
      </ns0:r>
      <ns0:r>
        <ns0:t xml:space="preserve"> </ns0:t>
      </ns0:r>
      <ns0:r>
        <ns0:t xml:space="preserve">are omitted from Figure A1 because that category is too sparse and its timing is</ns0:t>
      </ns0:r>
      <ns0:r>
        <ns0:t xml:space="preserve"> </ns0:t>
      </ns0:r>
      <ns0:r>
        <ns0:t xml:space="preserve">difficult to interpret.</ns0:t>
      </ns0:r>
    </ns0:p>
    <ns0:p>
      <ns0:pPr>
        <ns0:pStyle ns0:val="CaptionedFigure"/>
      </ns0:pPr>
      <ns0:r>
        <ns0:drawing>
          <ns1:inline>
            <ns1:extent cx="3486341" cy="2889993"/>
            <ns1:effectExtent b="0" l="0" r="0" t="0"/>
            <ns1:docPr descr="Figure A1. Mean within-fiscal-year percentile ranks in the first complete year after reported entry for continuity-lineage entrants (n=27) and rebuild/replacement-like entrants (n=11). Metrics are gross MWh/t, generator design intensity (installed kW per t/day of processing capacity), and annual electrical capacity factor among engineering-valid generator-years; the dashed line marks the 50th percentile. The forward-dated/placeholder category (n=6) is omitted because support is sparse. All contrasts are descriptive." title="" id="60" name="Picture"/>
            <ns2:graphic>
              <ns2:graphicData uri="http://schemas.openxmlformats.org/drawingml/2006/picture">
                <ns3:pic>
                  <ns3:nvPicPr>
                    <ns3:cNvPr descr="../../figures/figure4_post_entry_trajectories.png" id="61" name="Picture"/>
                    <ns3:cNvPicPr>
                      <ns2:picLocks noChangeArrowheads="1" noChangeAspect="1"/>
                    </ns3:cNvPicPr>
                  </ns3:nvPicPr>
                  <ns3:blipFill>
                    <ns2:blip ns4:embed="rId59"/>
                    <ns2:stretch>
                      <ns2:fillRect/>
                    </ns2:stretch>
                  </ns3:blipFill>
                  <ns3:spPr bwMode="auto">
                    <ns2:xfrm>
                      <ns2:off x="0" y="0"/>
                      <ns2:ext cx="3486341" cy="2889993"/>
                    </ns2:xfrm>
                    <ns2:prstGeom prst="rect">
                      <ns2:avLst/>
                    </ns2:prstGeom>
                    <ns2:noFill/>
                    <ns2:ln w="9525">
                      <ns2:noFill/>
                      <ns2:headEnd/>
                      <ns2:tailEnd/>
                    </ns2:ln>
                  </ns3:spPr>
                </ns3:pic>
              </ns2:graphicData>
            </ns2:graphic>
          </ns1:inline>
        </ns0:drawing>
      </ns0:r>
    </ns0:p>
    <ns0:p>
      <ns0:pPr>
        <ns0:pStyle ns0:val="ImageCaption"/>
      </ns0:pPr>
      <ns0:r>
        <ns0:t xml:space="preserve">Figure A1. Mean within-fiscal-year percentile ranks in the first complete year after reported entry for continuity-lineage entrants (n=27) and rebuild/replacement-like entrants (n=11). Metrics are gross MWh/t, generator design intensity (installed kW per t/day of processing capacity), and annual electrical capacity factor among engineering-valid generator-years; the dashed line marks the 50th percentile. The forward-dated/placeholder category (n=6) is omitted because support is sparse. All contrasts are descriptive.</ns0:t>
      </ns0:r>
    </ns0:p>
    <ns0:p>
      <ns0:pPr>
        <ns0:pStyle ns0:val="af"/>
      </ns0:pPr>
      <ns0:r>
        <ns0:t xml:space="preserve">The larger descriptive pathway difference aligns more closely with generator</ns0:t>
      </ns0:r>
      <ns0:r>
        <ns0:t xml:space="preserve"> </ns0:t>
      </ns0:r>
      <ns0:r>
        <ns0:t xml:space="preserve">sizing than with capacity factor. This is not an estimated pathway effect:</ns0:t>
      </ns0:r>
      <ns0:r>
        <ns0:t xml:space="preserve"> </ns0:t>
      </ns0:r>
      <ns0:r>
        <ns0:t xml:space="preserve">assignment relies on reported resets, follow-up is selective, and there is no</ns0:t>
      </ns0:r>
      <ns0:r>
        <ns0:t xml:space="preserve"> </ns0:t>
      </ns0:r>
      <ns0:r>
        <ns0:t xml:space="preserve">counterfactual comparison between otherwise equivalent projects.</ns0:t>
      </ns0:r>
    </ns0:p>
    <ns0:bookmarkEnd ns0:id="62"/>
    <ns0:bookmarkStart ns0:id="66" ns0:name="Xf5c4449597caa597e4a3a5293ec11b78e602417"/>
    <ns0:p>
      <ns0:pPr>
        <ns0:pStyle ns0:val="1"/>
      </ns0:pPr>
      <ns0:r>
        <ns0:t xml:space="preserve">Appendix B. Model coding and focal estimates</ns0:t>
      </ns0:r>
    </ns0:p>
    <ns0:bookmarkStart ns0:id="63" ns0:name="X0cca4ec699db1609b810eabde6784311b1f195d"/>
    <ns0:p>
      <ns0:pPr>
        <ns0:pStyle ns0:val="21"/>
      </ns0:pPr>
      <ns0:r>
        <ns0:t xml:space="preserve">B.1 Technical formulas moved from the main narrative</ns0:t>
      </ns0:r>
    </ns0:p>
    <ns0:p>
      <ns0:pPr>
        <ns0:pStyle ns0:val="FirstParagraph"/>
      </ns0:pPr>
      <ns0:r>
        <ns0:t xml:space="preserve">This appendix preserves the formal definitions used in the analysis while the</ns0:t>
      </ns0:r>
      <ns0:r>
        <ns0:t xml:space="preserve"> </ns0:t>
      </ns0:r>
      <ns0:r>
        <ns0:t xml:space="preserve">main methodology emphasizes the research logic and interpretation.</ns0:t>
      </ns0:r>
    </ns0:p>
    <ns0:p>
      <ns0:pPr>
        <ns0:pStyle ns0:val="af"/>
      </ns0:pPr>
      <ns0:r>
        <ns0:t xml:space="preserve">For installed-capacity and positive-output participation:</ns0:t>
      </ns0:r>
    </ns0:p>
    <ns0:p>
      <ns0:pPr>
        <ns0:pStyle ns0:val="af"/>
      </ns0:pPr>
      <ns0:r>
        <ns0:t xml:space="preserve">[</ns0:t>
      </ns0:r>
      <ns0:r>
        <ns0:t xml:space="preserve"> </ns0:t>
      </ns0:r>
      <ns0:r>
        <ns0:t xml:space="preserve">P_t^{K,all}=</ns0:t>
      </ns0:r>
      <ns0:r>
        <ns0:t xml:space="preserve">,</ns0:t>
      </ns0:r>
      <ns0:r>
        <ns0:t xml:space="preserve"> </ns0:t>
      </ns0:r>
      <ns0:r>
        <ns0:t xml:space="preserve">P_t^{K,active}=</ns0:t>
      </ns0:r>
      <ns0:r>
        <ns0:t xml:space="preserve">,</ns0:t>
      </ns0:r>
      <ns0:r>
        <ns0:t xml:space="preserve"> </ns0:t>
      </ns0:r>
      <ns0:r>
        <ns0:t xml:space="preserve">]</ns0:t>
      </ns0:r>
    </ns0:p>
    <ns0:p>
      <ns0:pPr>
        <ns0:pStyle ns0:val="af"/>
      </ns0:pPr>
      <ns0:r>
        <ns0:t xml:space="preserve">[</ns0:t>
      </ns0:r>
      <ns0:r>
        <ns0:t xml:space="preserve"> </ns0:t>
      </ns0:r>
      <ns0:r>
        <ns0:t xml:space="preserve">P_t^{G,all}=</ns0:t>
      </ns0:r>
      <ns0:r>
        <ns0:t xml:space="preserve">,</ns0:t>
      </ns0:r>
      <ns0:r>
        <ns0:t xml:space="preserve"> </ns0:t>
      </ns0:r>
      <ns0:r>
        <ns0:t xml:space="preserve">P_t^{G,active}=</ns0:t>
      </ns0:r>
      <ns0:r>
        <ns0:t xml:space="preserve">.</ns0:t>
      </ns0:r>
      <ns0:r>
        <ns0:t xml:space="preserve"> </ns0:t>
      </ns0:r>
      <ns0:r>
        <ns0:t xml:space="preserve">]</ns0:t>
      </ns0:r>
    </ns0:p>
    <ns0:p>
      <ns0:pPr>
        <ns0:pStyle ns0:val="af"/>
      </ns0:pPr>
      <ns0:r>
        <ns0:t xml:space="preserve">For throughput and design-capacity coverage:</ns0:t>
      </ns0:r>
    </ns0:p>
    <ns0:p>
      <ns0:pPr>
        <ns0:pStyle ns0:val="af"/>
      </ns0:pPr>
      <ns0:r>
        <ns0:t xml:space="preserve">[</ns0:t>
      </ns0:r>
      <ns0:r>
        <ns0:t xml:space="preserve"> </ns0:t>
      </ns0:r>
      <ns0:r>
        <ns0:t xml:space="preserve">P_t^{throughput}=</ns0:t>
      </ns0:r>
      <ns0:r>
        <ns0:t xml:space="preserve">,</ns0:t>
      </ns0:r>
      <ns0:r>
        <ns0:t xml:space="preserve"> </ns0:t>
      </ns0:r>
      <ns0:r>
        <ns0:t xml:space="preserve">P_t^{design}=</ns0:t>
      </ns0:r>
      <ns0:r>
        <ns0:t xml:space="preserve">.</ns0:t>
      </ns0:r>
      <ns0:r>
        <ns0:t xml:space="preserve"> </ns0:t>
      </ns0:r>
      <ns0:r>
        <ns0:t xml:space="preserve">]</ns0:t>
      </ns0:r>
    </ns0:p>
    <ns0:p>
      <ns0:pPr>
        <ns0:pStyle ns0:val="af"/>
      </ns0:pPr>
      <ns0:r>
        <ns0:t xml:space="preserve">The valid-generator fleet identity is</ns0:t>
      </ns0:r>
    </ns0:p>
    <ns0:p>
      <ns0:pPr>
        <ns0:pStyle ns0:val="af"/>
      </ns0:pPr>
      <ns0:r>
        <ns0:t xml:space="preserve">[</ns0:t>
      </ns0:r>
      <ns0:r>
        <ns0:t xml:space="preserve"> </ns0:t>
      </ns0:r>
      <ns0:r>
        <ns0:t xml:space="preserve"> </ns0:t>
      </ns0:r>
      <ns0:r>
        <ns0:t xml:space="preserve">=</ns0:t>
      </ns0:r>
      <ns0:r>
        <ns0:t xml:space="preserve">(</ns0:t>
      </ns0:r>
      <ns0:r>
        <ns0:t xml:space="preserve">)</ns0:t>
      </ns0:r>
      <ns0:r>
        <ns0:t xml:space="preserve"> </ns0:t>
      </ns0:r>
      <ns0:r>
        <ns0:t xml:space="preserve">(</ns0:t>
      </ns0:r>
      <ns0:r>
        <ns0:t xml:space="preserve">).</ns0:t>
      </ns0:r>
      <ns0:r>
        <ns0:t xml:space="preserve"> </ns0:t>
      </ns0:r>
      <ns0:r>
        <ns0:t xml:space="preserve">]</ns0:t>
      </ns0:r>
    </ns0:p>
    <ns0:p>
      <ns0:pPr>
        <ns0:pStyle ns0:val="af"/>
      </ns0:pPr>
      <ns0:r>
        <ns0:t xml:space="preserve">Firth estimation maximizes</ns0:t>
      </ns0:r>
    </ns0:p>
    <ns0:p>
      <ns0:pPr>
        <ns0:pStyle ns0:val="af"/>
      </ns0:pPr>
      <ns0:r>
        <ns0:t xml:space="preserve">[</ns0:t>
      </ns0:r>
      <ns0:r>
        <ns0:t xml:space="preserve"> </ns0:t>
      </ns0:r>
      <ns0:r>
        <ns0:t xml:space="preserve">_F(</ns0:t>
      </ns0:r>
      <ns0:r>
        <ns0:t xml:space="preserve">)=</ns0:t>
      </ns0:r>
      <ns0:r>
        <ns0:t xml:space="preserve">(</ns0:t>
      </ns0:r>
      <ns0:r>
        <ns0:t xml:space="preserve">)+</ns0:t>
      </ns0:r>
      <ns0:r>
        <ns0:t xml:space="preserve"> </ns0:t>
      </ns0:r>
      <ns0:r>
        <ns0:t xml:space="preserve">|</ns0:t>
      </ns0:r>
      <ns0:r>
        <ns0:t xml:space="preserve">(</ns0:t>
      </ns0:r>
      <ns0:r>
        <ns0:t xml:space="preserve">)</ns0:t>
      </ns0:r>
      <ns0:r>
        <ns0:t xml:space="preserve">|.</ns0:t>
      </ns0:r>
      <ns0:r>
        <ns0:t xml:space="preserve"> </ns0:t>
      </ns0:r>
      <ns0:r>
        <ns0:t xml:space="preserve">]</ns0:t>
      </ns0:r>
    </ns0:p>
    <ns0:p>
      <ns0:pPr>
        <ns0:pStyle ns0:val="af"/>
      </ns0:pPr>
      <ns0:r>
        <ns0:t xml:space="preserve">The predefined processing-scale contrast and standardized annual risk are</ns0:t>
      </ns0:r>
    </ns0:p>
    <ns0:p>
      <ns0:pPr>
        <ns0:pStyle ns0:val="af"/>
      </ns0:pPr>
      <ns0:r>
        <ns0:t xml:space="preserve">[</ns0:t>
      </ns0:r>
      <ns0:r>
        <ns0:t xml:space="preserve"> </ns0:t>
      </ns0:r>
      <ns0:r>
        <ns0:t xml:space="preserve">OR_{300:100}=</ns0:t>
      </ns0:r>
      <ns0:r>
        <ns0:t xml:space="preserve">(</ns0:t>
      </ns0:r>
      <ns0:r>
        <ns0:rPr>
          <ns0:i/>
          <ns0:iCs/>
        </ns0:rPr>
        <ns0:t xml:space="preserve">C</ns0:t>
      </ns0:r>
      <ns0:r>
        <ns0:rPr>
          <ns0:i/>
          <ns0:iCs/>
        </ns0:rPr>
        <ns0:t xml:space="preserve">),</ns0:t>
      </ns0:r>
      <ns0:r>
        <ns0:rPr>
          <ns0:i/>
          <ns0:iCs/>
        </ns0:rPr>
        <ns0:t xml:space="preserve"> </ns0:t>
      </ns0:r>
      <ns0:r>
        <ns0:rPr>
          <ns0:i/>
          <ns0:iCs/>
        </ns0:rPr>
        <ns0:t xml:space="preserve">p(c)=</ns0:t>
      </ns0:r>
      <ns0:r>
        <ns0:t xml:space="preserve">{i,t}</ns0:t>
      </ns0:r>
      <ns0:r>
        <ns0:t xml:space="preserve"> </ns0:t>
      </ns0:r>
      <ns0:r>
        <ns0:t xml:space="preserve">^{-1}{</ns0:t>
      </ns0:r>
      <ns0:r>
        <ns0:t xml:space="preserve">_{it}(c)’</ns0:t>
      </ns0:r>
      <ns0:r>
        <ns0:t xml:space="preserve">}.</ns0:t>
      </ns0:r>
      <ns0:r>
        <ns0:t xml:space="preserve"> </ns0:t>
      </ns0:r>
      <ns0:r>
        <ns0:t xml:space="preserve">]</ns0:t>
      </ns0:r>
    </ns0:p>
    <ns0:p>
      <ns0:pPr>
        <ns0:pStyle ns0:val="af"/>
      </ns0:pPr>
      <ns0:r>
        <ns0:t xml:space="preserve">The installed-capacity and capacity-factor models are</ns0:t>
      </ns0:r>
    </ns0:p>
    <ns0:p>
      <ns0:pPr>
        <ns0:pStyle ns0:val="af"/>
      </ns0:pPr>
      <ns0:r>
        <ns0:t xml:space="preserve">[</ns0:t>
      </ns0:r>
      <ns0:r>
        <ns0:t xml:space="preserve"> </ns0:t>
      </ns0:r>
      <ns0:r>
        <ns0:t xml:space="preserve">K_{it}=</ns0:t>
      </ns0:r>
      <ns0:r>
        <ns0:rPr>
          <ns0:i/>
          <ns0:iCs/>
        </ns0:rPr>
        <ns0:t xml:space="preserve">K+</ns0:t>
      </ns0:r>
      <ns0:r>
        <ns0:t xml:space="preserve">{it}</ns0:t>
      </ns0:r>
      <ns0:r>
        <ns0:rPr>
          <ns0:i/>
          <ns0:iCs/>
        </ns0:rPr>
        <ns0:t xml:space="preserve">K</ns0:t>
      </ns0:r>
      <ns0:r>
        <ns0:rPr>
          <ns0:i/>
          <ns0:iCs/>
        </ns0:rPr>
        <ns0:t xml:space="preserve"> </ns0:t>
      </ns0:r>
      <ns0:r>
        <ns0:rPr>
          <ns0:i/>
          <ns0:iCs/>
        </ns0:rPr>
        <ns0:t xml:space="preserve">+</ns0:t>
      </ns0:r>
      <ns0:r>
        <ns0:t xml:space="preserve">{KC}</ns0:t>
      </ns0:r>
      <ns0:r>
        <ns0:t xml:space="preserve">C_{it}+</ns0:t>
      </ns0:r>
      <ns0:r>
        <ns0:t xml:space="preserve">_{it}</ns0:t>
      </ns0:r>
      <ns0:r>
        <ns0:t xml:space="preserve">_K</ns0:t>
      </ns0:r>
      <ns0:r>
        <ns0:t xml:space="preserve"> </ns0:t>
      </ns0:r>
      <ns0:r>
        <ns0:t xml:space="preserve">+</ns0:t>
      </ns0:r>
      <ns0:r>
        <ns0:rPr>
          <ns0:i/>
          <ns0:iCs/>
        </ns0:rPr>
        <ns0:t xml:space="preserve">t+</ns0:t>
      </ns0:r>
      <ns0:r>
        <ns0:t xml:space="preserve">{Kit},</ns0:t>
      </ns0:r>
      <ns0:r>
        <ns0:t xml:space="preserve"> </ns0:t>
      </ns0:r>
      <ns0:r>
        <ns0:t xml:space="preserve">]</ns0:t>
      </ns0:r>
    </ns0:p>
    <ns0:p>
      <ns0:pPr>
        <ns0:pStyle ns0:val="af"/>
      </ns0:pPr>
      <ns0:r>
        <ns0:t xml:space="preserve">[</ns0:t>
      </ns0:r>
      <ns0:r>
        <ns0:t xml:space="preserve"> </ns0:t>
      </ns0:r>
      <ns0:r>
        <ns0:t xml:space="preserve">F_{it}=</ns0:t>
      </ns0:r>
      <ns0:r>
        <ns0:rPr>
          <ns0:i/>
          <ns0:iCs/>
        </ns0:rPr>
        <ns0:t xml:space="preserve">F+</ns0:t>
      </ns0:r>
      <ns0:r>
        <ns0:t xml:space="preserve">{it}</ns0:t>
      </ns0:r>
      <ns0:r>
        <ns0:rPr>
          <ns0:i/>
          <ns0:iCs/>
        </ns0:rPr>
        <ns0:t xml:space="preserve">F</ns0:t>
      </ns0:r>
      <ns0:r>
        <ns0:rPr>
          <ns0:i/>
          <ns0:iCs/>
        </ns0:rPr>
        <ns0:t xml:space="preserve"> </ns0:t>
      </ns0:r>
      <ns0:r>
        <ns0:rPr>
          <ns0:i/>
          <ns0:iCs/>
        </ns0:rPr>
        <ns0:t xml:space="preserve">+</ns0:t>
      </ns0:r>
      <ns0:r>
        <ns0:t xml:space="preserve">{FC}</ns0:t>
      </ns0:r>
      <ns0:r>
        <ns0:t xml:space="preserve">C_{it}+</ns0:t>
      </ns0:r>
      <ns0:r>
        <ns0:rPr>
          <ns0:i/>
          <ns0:iCs/>
        </ns0:rPr>
        <ns0:t xml:space="preserve">U U</ns0:t>
      </ns0:r>
      <ns0:r>
        <ns0:t xml:space="preserve">{it}</ns0:t>
      </ns0:r>
      <ns0:r>
        <ns0:t xml:space="preserve"> </ns0:t>
      </ns0:r>
      <ns0:r>
        <ns0:t xml:space="preserve">+</ns0:t>
      </ns0:r>
      <ns0:r>
        <ns0:t xml:space="preserve">_{it}</ns0:t>
      </ns0:r>
      <ns0:r>
        <ns0:t xml:space="preserve">_F+</ns0:t>
      </ns0:r>
      <ns0:r>
        <ns0:rPr>
          <ns0:i/>
          <ns0:iCs/>
        </ns0:rPr>
        <ns0:t xml:space="preserve">t+</ns0:t>
      </ns0:r>
      <ns0:r>
        <ns0:t xml:space="preserve">{Fit}.</ns0:t>
      </ns0:r>
      <ns0:r>
        <ns0:t xml:space="preserve"> </ns0:t>
      </ns0:r>
      <ns0:r>
        <ns0:t xml:space="preserve">]</ns0:t>
      </ns0:r>
    </ns0:p>
    <ns0:p>
      <ns0:pPr>
        <ns0:pStyle ns0:val="af"/>
      </ns0:pPr>
      <ns0:r>
        <ns0:t xml:space="preserve">With a common design matrix, the component regressions satisfy</ns0:t>
      </ns0:r>
    </ns0:p>
    <ns0:p>
      <ns0:pPr>
        <ns0:pStyle ns0:val="af"/>
      </ns0:pPr>
      <ns0:r>
        <ns0:t xml:space="preserve">[</ns0:t>
      </ns0:r>
      <ns0:r>
        <ns0:t xml:space="preserve"> </ns0:t>
      </ns0:r>
      <ns0:r>
        <ns0:t xml:space="preserve">D_{it}=</ns0:t>
      </ns0:r>
      <ns0:r>
        <ns0:rPr>
          <ns0:i/>
          <ns0:iCs/>
        </ns0:rPr>
        <ns0:t xml:space="preserve">{it}</ns0:t>
      </ns0:r>
      <ns0:r>
        <ns0:rPr>
          <ns0:i/>
          <ns0:i/>
          <ns0:iCs/>
          <ns0:iCs/>
        </ns0:rPr>
        <ns0:t xml:space="preserve">D+e</ns0:t>
      </ns0:r>
      <ns0:r>
        <ns0:rPr>
          <ns0:i/>
          <ns0:iCs/>
        </ns0:rPr>
        <ns0:t xml:space="preserve">{Dit},</ns0:t>
      </ns0:r>
      <ns0:r>
        <ns0:rPr>
          <ns0:i/>
          <ns0:iCs/>
        </ns0:rPr>
        <ns0:t xml:space="preserve"> </ns0:t>
      </ns0:r>
      <ns0:r>
        <ns0:rPr>
          <ns0:i/>
          <ns0:iCs/>
        </ns0:rPr>
        <ns0:t xml:space="preserve">F</ns0:t>
      </ns0:r>
      <ns0:r>
        <ns0:t xml:space="preserve">{it}=</ns0:t>
      </ns0:r>
      <ns0:r>
        <ns0:t xml:space="preserve">_{it}</ns0:t>
      </ns0:r>
      <ns0:r>
        <ns0:rPr>
          <ns0:i/>
          <ns0:iCs/>
        </ns0:rPr>
        <ns0:t xml:space="preserve">F+e</ns0:t>
      </ns0:r>
      <ns0:r>
        <ns0:t xml:space="preserve">{Fit},</ns0:t>
      </ns0:r>
      <ns0:r>
        <ns0:t xml:space="preserve"> </ns0:t>
      </ns0:r>
      <ns0:r>
        <ns0:t xml:space="preserve">]</ns0:t>
      </ns0:r>
    </ns0:p>
    <ns0:p>
      <ns0:pPr>
        <ns0:pStyle ns0:val="af"/>
      </ns0:pPr>
      <ns0:r>
        <ns0:t xml:space="preserve">[</ns0:t>
      </ns0:r>
      <ns0:r>
        <ns0:t xml:space="preserve"> </ns0:t>
      </ns0:r>
      <ns0:r>
        <ns0:t xml:space="preserve">U_{it}=</ns0:t>
      </ns0:r>
      <ns0:r>
        <ns0:rPr>
          <ns0:i/>
          <ns0:iCs/>
        </ns0:rPr>
        <ns0:t xml:space="preserve">{it}</ns0:t>
      </ns0:r>
      <ns0:r>
        <ns0:rPr>
          <ns0:i/>
          <ns0:i/>
          <ns0:iCs/>
          <ns0:iCs/>
        </ns0:rPr>
        <ns0:t xml:space="preserve">U+e</ns0:t>
      </ns0:r>
      <ns0:r>
        <ns0:rPr>
          <ns0:i/>
          <ns0:iCs/>
        </ns0:rPr>
        <ns0:t xml:space="preserve">{Uit},</ns0:t>
      </ns0:r>
      <ns0:r>
        <ns0:rPr>
          <ns0:i/>
          <ns0:iCs/>
        </ns0:rPr>
        <ns0:t xml:space="preserve"> </ns0:t>
      </ns0:r>
      <ns0:r>
        <ns0:rPr>
          <ns0:i/>
          <ns0:iCs/>
        </ns0:rPr>
        <ns0:t xml:space="preserve">Y</ns0:t>
      </ns0:r>
      <ns0:r>
        <ns0:t xml:space="preserve">{it}=</ns0:t>
      </ns0:r>
      <ns0:r>
        <ns0:t xml:space="preserve">_{it}</ns0:t>
      </ns0:r>
      <ns0:r>
        <ns0:rPr>
          <ns0:i/>
          <ns0:iCs/>
        </ns0:rPr>
        <ns0:t xml:space="preserve">Y+e</ns0:t>
      </ns0:r>
      <ns0:r>
        <ns0:t xml:space="preserve">{Yit},</ns0:t>
      </ns0:r>
      <ns0:r>
        <ns0:t xml:space="preserve"> </ns0:t>
      </ns0:r>
      <ns0:r>
        <ns0:t xml:space="preserve">]</ns0:t>
      </ns0:r>
    </ns0:p>
    <ns0:p>
      <ns0:pPr>
        <ns0:pStyle ns0:val="af"/>
      </ns0:pPr>
      <ns0:r>
        <ns0:t xml:space="preserve">and therefore (</ns0:t>
      </ns0:r>
      <ns0:r>
        <ns0:t xml:space="preserve">_Y=</ns0:t>
      </ns0:r>
      <ns0:r>
        <ns0:t xml:space="preserve">_D+</ns0:t>
      </ns0:r>
      <ns0:r>
        <ns0:t xml:space="preserve">_F-</ns0:t>
      </ns0:r>
      <ns0:r>
        <ns0:t xml:space="preserve">_U) for each cohort</ns0:t>
      </ns0:r>
      <ns0:r>
        <ns0:t xml:space="preserve"> </ns0:t>
      </ns0:r>
      <ns0:r>
        <ns0:t xml:space="preserve">contrast. This is an accounting identity, not a causal mediation result.</ns0:t>
      </ns0:r>
    </ns0:p>
    <ns0:bookmarkEnd ns0:id="63"/>
    <ns0:bookmarkStart ns0:id="64" ns0:name="b.2-first-entry-model"/>
    <ns0:p>
      <ns0:pPr>
        <ns0:pStyle ns0:val="21"/>
      </ns0:pPr>
      <ns0:r>
        <ns0:t xml:space="preserve">B.2 First-entry model</ns0:t>
      </ns0:r>
    </ns0:p>
    <ns0:p>
      <ns0:pPr>
        <ns0:pStyle ns0:val="FirstParagraph"/>
      </ns0:pPr>
      <ns0:r>
        <ns0:t xml:space="preserve">The first-entry likelihood includes only rows with</ns0:t>
      </ns0:r>
      <ns0:r>
        <ns0:t xml:space="preserve"> </ns0:t>
      </ns0:r>
      <ns5:oMath>
        <ns5:sSub>
          <ns5:e>
            <ns5:r>
              <ns5:t>H</ns5:t>
            </ns5:r>
          </ns5:e>
          <ns5:sub>
            <ns5:r>
              <ns5:t>i</ns5:t>
            </ns5:r>
            <ns5:r>
              <ns5:t>t</ns5:t>
            </ns5:r>
          </ns5:sub>
        </ns5:sSub>
        <ns5:r>
          <ns5:rPr>
            <ns5:sty ns5:val="p"/>
          </ns5:rPr>
          <ns5:t>=</ns5:t>
        </ns5:r>
        <ns5:r>
          <ns5:t>1</ns5:t>
        </ns5:r>
      </ns5:oMath>
      <ns0:r>
        <ns0:t xml:space="preserve">: at the start of</ns0:t>
      </ns0:r>
      <ns0:r>
        <ns0:t xml:space="preserve"> </ns0:t>
      </ns0:r>
      <ns0:r>
        <ns0:t xml:space="preserve">year</ns0:t>
      </ns0:r>
      <ns0:r>
        <ns0:t xml:space="preserve"> </ns0:t>
      </ns0:r>
      <ns5:oMath>
        <ns5:r>
          <ns5:t>t</ns5:t>
        </ns5:r>
      </ns5:oMath>
      <ns0:r>
        <ns0:t xml:space="preserve">, lineage</ns0:t>
      </ns0:r>
      <ns0:r>
        <ns0:t xml:space="preserve"> </ns0:t>
      </ns0:r>
      <ns5:oMath>
        <ns5:r>
          <ns5:t>i</ns5:t>
        </ns5:r>
      </ns5:oMath>
      <ns0:r>
        <ns0:t xml:space="preserve"> </ns0:t>
      </ns0:r>
      <ns0:r>
        <ns0:t xml:space="preserve">has no earlier observed positive installed-capacity</ns0:t>
      </ns0:r>
      <ns0:r>
        <ns0:t xml:space="preserve"> </ns0:t>
      </ns0:r>
      <ns0:r>
        <ns0:t xml:space="preserve">record. The four reported covariates are age per ten years,</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r>
          <ns5:t>100</ns5:t>
        </ns5:r>
        <ns5:r>
          <ns5:rPr>
            <ns5:sty ns5:val="p"/>
          </ns5:rPr>
          <ns5:t>)</ns5:t>
        </ns5:r>
      </ns5:oMath>
      <ns0:r>
        <ns0:t xml:space="preserve"> </ns0:t>
      </ns0:r>
      <ns0:r>
        <ns0:t xml:space="preserve">for prior-year processing capacity</ns0:t>
      </ns0:r>
      <ns0:r>
        <ns0:t xml:space="preserve"> </ns0:t>
      </ns0:r>
      <ns5:oMath>
        <ns5:r>
          <ns5:t>C</ns5:t>
        </ns5:r>
      </ns5:oMath>
      <ns0:r>
        <ns0:t xml:space="preserve"> </ns0:t>
      </ns0:r>
      <ns0:r>
        <ns0:t xml:space="preserve">in t/day, calendar time</ns0:t>
      </ns0:r>
      <ns0:r>
        <ns0:t xml:space="preserve"> </ns0:t>
      </ns0:r>
      <ns0:r>
        <ns0:t xml:space="preserve">per five years centred at FY2014.5, and</ns0:t>
      </ns0:r>
      <ns0:r>
        <ns0:t xml:space="preserve"> </ns0:t>
      </ns0:r>
      <ns5:oMath>
        <ns5:r>
          <ns5:rPr>
            <ns5:sty ns5:val="p"/>
          </ns5:rPr>
          <ns5:t>log</ns5:t>
        </ns5:r>
        <ns5:r>
          <ns5:rPr>
            <ns5:sty ns5:val="p"/>
          </ns5:rPr>
          <ns5:t>(</ns5:t>
        </ns5:r>
        <ns5:r>
          <ns5:t>1</ns5:t>
        </ns5:r>
        <ns5:r>
          <ns5:rPr>
            <ns5:sty ns5:val="p"/>
          </ns5:rPr>
          <ns5:t>+</ns5:t>
        </ns5:r>
        <ns5:r>
          <ns5:t>R</ns5:t>
        </ns5:r>
        <ns5:r>
          <ns5:rPr>
            <ns5:sty ns5:val="p"/>
          </ns5:rPr>
          <ns5:t>)</ns5:t>
        </ns5:r>
      </ns5:oMath>
      <ns0:r>
        <ns0:t xml:space="preserve"> </ns0:t>
      </ns0:r>
      <ns0:r>
        <ns0:t xml:space="preserve">for elapsed observed years</ns0:t>
      </ns0:r>
      <ns0:r>
        <ns0:t xml:space="preserve"> </ns0:t>
      </ns0:r>
      <ns0:r>
        <ns0:t xml:space="preserve">at risk. Table B1 reports every non-intercept coefficient from the primary</ns0:t>
      </ns0:r>
      <ns0:r>
        <ns0:t xml:space="preserve"> </ns0:t>
      </ns0:r>
      <ns0:r>
        <ns0:t xml:space="preserve">five-parameter Firth model and its three sensitivity frames. Standard errors</ns0:t>
      </ns0:r>
      <ns0:r>
        <ns0:t xml:space="preserve"> </ns0:t>
      </ns0:r>
      <ns0:r>
        <ns0:t xml:space="preserve">are fitted-model estimates; confidence intervals are percentiles from 1,999</ns0:t>
      </ns0:r>
      <ns0:r>
        <ns0:t xml:space="preserve"> </ns0:t>
      </ns0:r>
      <ns0:r>
        <ns0:t xml:space="preserve">whole-lineage bootstrap replications.</ns0:t>
      </ns0:r>
    </ns0:p>
    <ns0:p>
      <ns0:pPr>
        <ns0:pStyle ns0:val="af"/>
      </ns0:pPr>
      <ns0:r>
        <ns0:t xml:space="preserve">The coefficient scale matters. The age estimate is a change in log odds for a</ns0:t>
      </ns0:r>
      <ns0:r>
        <ns0:t xml:space="preserve"> </ns0:t>
      </ns0:r>
      <ns0:r>
        <ns0:t xml:space="preserve">ten-year increase in prior reported age. Its broad-frame point estimate of</ns0:t>
      </ns0:r>
      <ns0:r>
        <ns0:t xml:space="preserve"> </ns0:t>
      </ns0:r>
      <ns0:r>
        <ns0:t xml:space="preserve">-0.327 corresponds to roughly 28% lower odds, but the bootstrap interval</ns0:t>
      </ns0:r>
      <ns0:r>
        <ns0:t xml:space="preserve"> </ns0:t>
      </ns0:r>
      <ns0:r>
        <ns0:t xml:space="preserve">includes no association; it should not be converted into an age rule. The</ns0:t>
      </ns0:r>
      <ns0:r>
        <ns0:t xml:space="preserve"> </ns0:t>
      </ns0:r>
      <ns0:r>
        <ns0:t xml:space="preserve">processing-capacity coefficient applies to the transformed variable</ns0:t>
      </ns0:r>
      <ns0:r>
        <ns0:t xml:space="preserve"> </ns0:t>
      </ns0:r>
      <ns5:oMath>
        <ns5:r>
          <ns5:rPr>
            <ns5:sty ns5:val="p"/>
          </ns5:rPr>
          <ns5:t>log</ns5:t>
        </ns5:r>
        <ns5:r>
          <ns5:rPr>
            <ns5:sty ns5:val="p"/>
          </ns5:rPr>
          <ns5:t>(</ns5:t>
        </ns5:r>
        <ns5:r>
          <ns5:t>1</ns5:t>
        </ns5:r>
        <ns5:r>
          <ns5:rPr>
            <ns5:sty ns5:val="p"/>
          </ns5:rPr>
          <ns5:t>+</ns5:t>
        </ns5:r>
        <ns5:r>
          <ns5:t>C</ns5:t>
        </ns5:r>
        <ns5:r>
          <ns5:rPr>
            <ns5:sty ns5:val="p"/>
          </ns5:rPr>
          <ns5:t>/</ns5:t>
        </ns5:r>
        <ns5:r>
          <ns5:t>100</ns5:t>
        </ns5:r>
        <ns5:r>
          <ns5:rPr>
            <ns5:sty ns5:val="p"/>
          </ns5:rPr>
          <ns5:t>)</ns5:t>
        </ns5:r>
      </ns5:oMath>
      <ns0:r>
        <ns0:t xml:space="preserve">, not to a simple 100-tonne-per-day increment. The</ns0:t>
      </ns0:r>
      <ns0:r>
        <ns0:t xml:space="preserve"> </ns0:t>
      </ns0:r>
      <ns0:r>
        <ns0:t xml:space="preserve">300-versus-100 t/day odds ratio is therefore calculated as</ns0:t>
      </ns0:r>
      <ns0:r>
        <ns0:t xml:space="preserve"> </ns0:t>
      </ns0:r>
      <ns5:oMath>
        <ns5:r>
          <ns5:rPr>
            <ns5:sty ns5:val="p"/>
          </ns5:rPr>
          <ns5:t>exp</ns5:t>
        </ns5:r>
        <ns5:r>
          <ns5:rPr>
            <ns5:sty ns5:val="p"/>
          </ns5:rPr>
          <ns5:t>(</ns5:t>
        </ns5:r>
        <ns5:r>
          <ns5:t>2.749</ns5:t>
        </ns5:r>
        <ns5:r>
          <ns5:rPr>
            <ns5:sty ns5:val="p"/>
          </ns5:rPr>
          <ns5:t>log</ns5:t>
        </ns5:r>
        <ns5:r>
          <ns5:t>2</ns5:t>
        </ns5:r>
        <ns5:r>
          <ns5:rPr>
            <ns5:sty ns5:val="p"/>
          </ns5:rPr>
          <ns5:t>)</ns5:t>
        </ns5:r>
        <ns5:r>
          <ns5:rPr>
            <ns5:sty ns5:val="p"/>
          </ns5:rPr>
          <ns5:t>=</ns5:t>
        </ns5:r>
        <ns5:r>
          <ns5:t>6.72</ns5:t>
        </ns5:r>
      </ns5:oMath>
      <ns0:r>
        <ns0:t xml:space="preserve">. Standardized risks are easier to interpret because</ns0:t>
      </ns0:r>
      <ns0:r>
        <ns0:t xml:space="preserve"> </ns0:t>
      </ns0:r>
      <ns0:r>
        <ns0:t xml:space="preserve">they translate the same fit back to annual entries per 1,000 facility-years.</ns0:t>
      </ns0:r>
    </ns0:p>
    <ns0:p>
      <ns0:pPr>
        <ns0:pStyle ns0:val="af"/>
      </ns0:pPr>
      <ns0:r>
        <ns0:t xml:space="preserve">The two uncertainty summaries answer related but different questions.</ns0:t>
      </ns0:r>
      <ns0:r>
        <ns0:t xml:space="preserve"> </ns0:t>
      </ns0:r>
      <ns0:r>
        <ns0:t xml:space="preserve">Model-based standard errors describe the curvature of the fitted penalized</ns0:t>
      </ns0:r>
      <ns0:r>
        <ns0:t xml:space="preserve"> </ns0:t>
      </ns0:r>
      <ns0:r>
        <ns0:t xml:space="preserve">likelihood. The bootstrap intervals repeat the complete estimation after</ns0:t>
      </ns0:r>
      <ns0:r>
        <ns0:t xml:space="preserve"> </ns0:t>
      </ns0:r>
      <ns0:r>
        <ns0:t xml:space="preserve">resampling whole lineages, preserving within-lineage dependence and showing how</ns0:t>
      </ns0:r>
      <ns0:r>
        <ns0:t xml:space="preserve"> </ns0:t>
      </ns0:r>
      <ns0:r>
        <ns0:t xml:space="preserve">the estimate varies when the observed lineage composition changes. The thesis</ns0:t>
      </ns0:r>
      <ns0:r>
        <ns0:t xml:space="preserve"> </ns0:t>
      </ns0:r>
      <ns0:r>
        <ns0:t xml:space="preserve">uses the 1,999-lineage bootstrap for headline inference and retains model-based</ns0:t>
      </ns0:r>
      <ns0:r>
        <ns0:t xml:space="preserve"> </ns0:t>
      </ns0:r>
      <ns0:r>
        <ns0:t xml:space="preserve">quantities for transparent comparison and diagnostics.</ns0:t>
      </ns0:r>
    </ns0:p>
    <ns0:p>
      <ns0:pPr>
        <ns0:pStyle ns0:val="af"/>
      </ns0:pPr>
      <ns0:r>
        <ns0:t xml:space="preserve">Calendar time and elapsed observed risk remain in the model to prevent the</ns0:t>
      </ns0:r>
      <ns0:r>
        <ns0:t xml:space="preserve"> </ns0:t>
      </ns0:r>
      <ns0:r>
        <ns0:t xml:space="preserve">capacity coefficient from absorbing a simple panel-time pattern. They are not</ns0:t>
      </ns0:r>
      <ns0:r>
        <ns0:t xml:space="preserve"> </ns0:t>
      </ns0:r>
      <ns0:r>
        <ns0:t xml:space="preserve">interpreted separately because their strong correlation makes that separation</ns0:t>
      </ns0:r>
      <ns0:r>
        <ns0:t xml:space="preserve"> </ns0:t>
      </ns0:r>
      <ns0:r>
        <ns0:t xml:space="preserve">unstable. Technology and geography are omitted from the primary model because</ns0:t>
      </ns0:r>
      <ns0:r>
        <ns0:t xml:space="preserve"> </ns0:t>
      </ns0:r>
      <ns0:r>
        <ns0:t xml:space="preserve">35 events cannot support a large adjustment set; the leave-one-prefecture and</ns0:t>
      </ns0:r>
      <ns0:r>
        <ns0:t xml:space="preserve"> </ns0:t>
      </ns0:r>
      <ns0:r>
        <ns0:t xml:space="preserve">other sensitivity fits assess concentration but do not repair unmeasured</ns0:t>
      </ns0:r>
      <ns0:r>
        <ns0:t xml:space="preserve"> </ns0:t>
      </ns0:r>
      <ns0:r>
        <ns0:t xml:space="preserve">confounding.</ns0:t>
      </ns0:r>
    </ns0:p>
    <ns0:p>
      <ns0:pPr>
        <ns0:pStyle ns0:val="af"/>
      </ns0:pPr>
      <ns0:r>
        <ns0:rPr>
          <ns0:b/>
          <ns0:bCs/>
        </ns0:rPr>
        <ns0:t xml:space="preserve">Table B1. Firth first-entry model focal coefficients</ns0:t>
      </ns0:r>
    </ns0:p>
    <ns0:tbl>
      <ns0:tblPr>
        <ns0:tblStyle ns0:val="Table"/>
        <ns0:tblW ns0:type="pct" ns0:w="5000"/>
        <ns0:tblLayout ns0:type="fixed"/>
        <ns0:tblLook ns0:firstRow="1" ns0:lastRow="0" ns0:firstColumn="0" ns0:lastColumn="0" ns0:noHBand="0" ns0:noVBand="0" ns0:val="0020"/>
      </ns0:tblPr>
      <ns0:tblGrid>
        <ns0:gridCol ns0:w="1320"/>
        <ns0:gridCol ns0:w="1320"/>
        <ns0:gridCol ns0:w="1320"/>
        <ns0:gridCol ns0:w="1320"/>
        <ns0:gridCol ns0:w="1320"/>
        <ns0:gridCol ns0:w="1320"/>
      </ns0:tblGrid>
      <ns0:tr>
        <ns0:trPr>
          <ns0:tblHeader ns0:val="on"/>
        </ns0:trPr>
        <ns0:tc>
          <ns0:tcPr/>
          <ns0:p>
            <ns0:pPr>
              <ns0:pStyle ns0:val="Compact"/>
              <ns0:jc ns0:val="left"/>
            </ns0:pPr>
            <ns0:r>
              <ns0:t xml:space="preserve">Frame</ns0:t>
            </ns0:r>
          </ns0:p>
        </ns0:tc>
        <ns0:tc>
          <ns0:tcPr/>
          <ns0:p>
            <ns0:pPr>
              <ns0:pStyle ns0:val="Compact"/>
              <ns0:jc ns0:val="left"/>
            </ns0:pPr>
            <ns0:r>
              <ns0:t xml:space="preserve">Term</ns0:t>
            </ns0:r>
          </ns0:p>
        </ns0:tc>
        <ns0:tc>
          <ns0:tcPr/>
          <ns0:p>
            <ns0:pPr>
              <ns0:pStyle ns0:val="Compact"/>
              <ns0:jc ns0:val="right"/>
            </ns0:pPr>
            <ns0:r>
              <ns0:t xml:space="preserve">Coefficient</ns0:t>
            </ns0:r>
          </ns0:p>
        </ns0:tc>
        <ns0:tc>
          <ns0:tcPr/>
          <ns0:p>
            <ns0:pPr>
              <ns0:pStyle ns0:val="Compact"/>
              <ns0:jc ns0:val="right"/>
            </ns0:pPr>
            <ns0:r>
              <ns0:t xml:space="preserve">Model-based SE</ns0:t>
            </ns0:r>
          </ns0:p>
        </ns0:tc>
        <ns0:tc>
          <ns0:tcPr/>
          <ns0:p>
            <ns0:pPr>
              <ns0:pStyle ns0:val="Compact"/>
              <ns0:jc ns0:val="left"/>
            </ns0:pPr>
            <ns0:r>
              <ns0:t xml:space="preserve">Bootstrap 95% CI</ns0:t>
            </ns0:r>
          </ns0:p>
        </ns0:tc>
        <ns0:tc>
          <ns0:tcPr/>
          <ns0:p>
            <ns0:pPr>
              <ns0:pStyle ns0:val="Compact"/>
              <ns0:jc ns0:val="right"/>
            </ns0:pPr>
            <ns0:r>
              <ns0:t xml:space="preserve">Events</ns0:t>
            </ns0:r>
          </ns0:p>
        </ns0:tc>
      </ns0:tr>
      <ns0:tr>
        <ns0:tc>
          <ns0:tcPr/>
          <ns0:p>
            <ns0:pPr>
              <ns0:pStyle ns0:val="Compact"/>
              <ns0:jc ns0:val="left"/>
            </ns0:pPr>
            <ns0:r>
              <ns0:t xml:space="preserve">Broad exact-year (primary; 15,154 rows, 1,137 lineages)</ns0:t>
            </ns0:r>
          </ns0:p>
        </ns0:tc>
        <ns0:tc>
          <ns0:tcPr/>
          <ns0:p>
            <ns0:pPr>
              <ns0:pStyle ns0:val="Compact"/>
              <ns0:jc ns0:val="left"/>
            </ns0:pPr>
            <ns0:r>
              <ns0:t xml:space="preserve">Age per 10 years</ns0:t>
            </ns0:r>
          </ns0:p>
        </ns0:tc>
        <ns0:tc>
          <ns0:tcPr/>
          <ns0:p>
            <ns0:pPr>
              <ns0:pStyle ns0:val="Compact"/>
              <ns0:jc ns0:val="right"/>
            </ns0:pPr>
            <ns0:r>
              <ns0:t xml:space="preserve">-0.327</ns0:t>
            </ns0:r>
          </ns0:p>
        </ns0:tc>
        <ns0:tc>
          <ns0:tcPr/>
          <ns0:p>
            <ns0:pPr>
              <ns0:pStyle ns0:val="Compact"/>
              <ns0:jc ns0:val="right"/>
            </ns0:pPr>
            <ns0:r>
              <ns0:t xml:space="preserve">0.214</ns0:t>
            </ns0:r>
          </ns0:p>
        </ns0:tc>
        <ns0:tc>
          <ns0:tcPr/>
          <ns0:p>
            <ns0:pPr>
              <ns0:pStyle ns0:val="Compact"/>
              <ns0:jc ns0:val="left"/>
            </ns0:pPr>
            <ns0:r>
              <ns0:t xml:space="preserve">-0.774 to 0.070</ns0:t>
            </ns0:r>
          </ns0:p>
        </ns0:tc>
        <ns0:tc>
          <ns0:tcPr/>
          <ns0:p>
            <ns0:pPr>
              <ns0:pStyle ns0:val="Compact"/>
              <ns0:jc ns0:val="right"/>
            </ns0:pPr>
            <ns0:r>
              <ns0:t xml:space="preserve">35</ns0:t>
            </ns0:r>
          </ns0:p>
        </ns0:tc>
      </ns0:tr>
      <ns0:tr>
        <ns0:tc>
          <ns0:tcPr/>
          <ns0:p>
            <ns0:pPr>
              <ns0:pStyle ns0:val="Compact"/>
              <ns0:jc ns0:val="left"/>
            </ns0:pPr>
            <ns0:r>
              <ns0:t xml:space="preserve">Broad exact-year</ns0:t>
            </ns0:r>
          </ns0:p>
        </ns0:tc>
        <ns0:tc>
          <ns0:tcPr/>
          <ns0:p>
            <ns0:pPr>
              <ns0:pStyle ns0:val="Compact"/>
              <ns0:jc ns0:val="left"/>
            </ns0:pPr>
            <ns0:r>
              <ns0:t xml:space="preserve">Log processing capacity</ns0:t>
            </ns0:r>
          </ns0:p>
        </ns0:tc>
        <ns0:tc>
          <ns0:tcPr/>
          <ns0:p>
            <ns0:pPr>
              <ns0:pStyle ns0:val="Compact"/>
              <ns0:jc ns0:val="right"/>
            </ns0:pPr>
            <ns0:r>
              <ns0:t xml:space="preserve">2.749</ns0:t>
            </ns0:r>
          </ns0:p>
        </ns0:tc>
        <ns0:tc>
          <ns0:tcPr/>
          <ns0:p>
            <ns0:pPr>
              <ns0:pStyle ns0:val="Compact"/>
              <ns0:jc ns0:val="right"/>
            </ns0:pPr>
            <ns0:r>
              <ns0:t xml:space="preserve">0.429</ns0:t>
            </ns0:r>
          </ns0:p>
        </ns0:tc>
        <ns0:tc>
          <ns0:tcPr/>
          <ns0:p>
            <ns0:pPr>
              <ns0:pStyle ns0:val="Compact"/>
              <ns0:jc ns0:val="left"/>
            </ns0:pPr>
            <ns0:r>
              <ns0:t xml:space="preserve">2.108 to 3.639</ns0:t>
            </ns0:r>
          </ns0:p>
        </ns0:tc>
        <ns0:tc>
          <ns0:tcPr/>
          <ns0:p>
            <ns0:pPr>
              <ns0:pStyle ns0:val="Compact"/>
              <ns0:jc ns0:val="right"/>
            </ns0:pPr>
            <ns0:r>
              <ns0:t xml:space="preserve">35</ns0:t>
            </ns0:r>
          </ns0:p>
        </ns0:tc>
      </ns0:tr>
      <ns0:tr>
        <ns0:tc>
          <ns0:tcPr/>
          <ns0:p>
            <ns0:pPr>
              <ns0:pStyle ns0:val="Compact"/>
              <ns0:jc ns0:val="left"/>
            </ns0:pPr>
            <ns0:r>
              <ns0:t xml:space="preserve">Broad exact-year</ns0:t>
            </ns0:r>
          </ns0:p>
        </ns0:tc>
        <ns0:tc>
          <ns0:tcPr/>
          <ns0:p>
            <ns0:pPr>
              <ns0:pStyle ns0:val="Compact"/>
              <ns0:jc ns0:val="left"/>
            </ns0:pPr>
            <ns0:r>
              <ns0:t xml:space="preserve">Calendar time per 5 years</ns0:t>
            </ns0:r>
          </ns0:p>
        </ns0:tc>
        <ns0:tc>
          <ns0:tcPr/>
          <ns0:p>
            <ns0:pPr>
              <ns0:pStyle ns0:val="Compact"/>
              <ns0:jc ns0:val="right"/>
            </ns0:pPr>
            <ns0:r>
              <ns0:t xml:space="preserve">0.696</ns0:t>
            </ns0:r>
          </ns0:p>
        </ns0:tc>
        <ns0:tc>
          <ns0:tcPr/>
          <ns0:p>
            <ns0:pPr>
              <ns0:pStyle ns0:val="Compact"/>
              <ns0:jc ns0:val="right"/>
            </ns0:pPr>
            <ns0:r>
              <ns0:t xml:space="preserve">0.277</ns0:t>
            </ns0:r>
          </ns0:p>
        </ns0:tc>
        <ns0:tc>
          <ns0:tcPr/>
          <ns0:p>
            <ns0:pPr>
              <ns0:pStyle ns0:val="Compact"/>
              <ns0:jc ns0:val="left"/>
            </ns0:pPr>
            <ns0:r>
              <ns0:t xml:space="preserve">-0.012 to 1.149</ns0:t>
            </ns0:r>
          </ns0:p>
        </ns0:tc>
        <ns0:tc>
          <ns0:tcPr/>
          <ns0:p>
            <ns0:pPr>
              <ns0:pStyle ns0:val="Compact"/>
              <ns0:jc ns0:val="right"/>
            </ns0:pPr>
            <ns0:r>
              <ns0:t xml:space="preserve">35</ns0:t>
            </ns0:r>
          </ns0:p>
        </ns0:tc>
      </ns0:tr>
      <ns0:tr>
        <ns0:tc>
          <ns0:tcPr/>
          <ns0:p>
            <ns0:pPr>
              <ns0:pStyle ns0:val="Compact"/>
              <ns0:jc ns0:val="left"/>
            </ns0:pPr>
            <ns0:r>
              <ns0:t xml:space="preserve">Broad exact-year</ns0:t>
            </ns0:r>
          </ns0:p>
        </ns0:tc>
        <ns0:tc>
          <ns0:tcPr/>
          <ns0:p>
            <ns0:pPr>
              <ns0:pStyle ns0:val="Compact"/>
              <ns0:jc ns0:val="left"/>
            </ns0:pPr>
            <ns0:r>
              <ns0:t xml:space="preserve">Log elapsed risk</ns0:t>
            </ns0:r>
          </ns0:p>
        </ns0:tc>
        <ns0:tc>
          <ns0:tcPr/>
          <ns0:p>
            <ns0:pPr>
              <ns0:pStyle ns0:val="Compact"/>
              <ns0:jc ns0:val="right"/>
            </ns0:pPr>
            <ns0:r>
              <ns0:t xml:space="preserve">-0.638</ns0:t>
            </ns0:r>
          </ns0:p>
        </ns0:tc>
        <ns0:tc>
          <ns0:tcPr/>
          <ns0:p>
            <ns0:pPr>
              <ns0:pStyle ns0:val="Compact"/>
              <ns0:jc ns0:val="right"/>
            </ns0:pPr>
            <ns0:r>
              <ns0:t xml:space="preserve">0.579</ns0:t>
            </ns0:r>
          </ns0:p>
        </ns0:tc>
        <ns0:tc>
          <ns0:tcPr/>
          <ns0:p>
            <ns0:pPr>
              <ns0:pStyle ns0:val="Compact"/>
              <ns0:jc ns0:val="left"/>
            </ns0:pPr>
            <ns0:r>
              <ns0:t xml:space="preserve">-1.610 to 1.116</ns0:t>
            </ns0:r>
          </ns0:p>
        </ns0:tc>
        <ns0:tc>
          <ns0:tcPr/>
          <ns0:p>
            <ns0:pPr>
              <ns0:pStyle ns0:val="Compact"/>
              <ns0:jc ns0:val="right"/>
            </ns0:pPr>
            <ns0:r>
              <ns0:t xml:space="preserve">35</ns0:t>
            </ns0:r>
          </ns0:p>
        </ns0:tc>
      </ns0:tr>
      <ns0:tr>
        <ns0:tc>
          <ns0:tcPr/>
          <ns0:p>
            <ns0:pPr>
              <ns0:pStyle ns0:val="Compact"/>
              <ns0:jc ns0:val="left"/>
            </ns0:pPr>
            <ns0:r>
              <ns0:t xml:space="preserve">Prior operation (13,072 rows, 1,019 lineages)</ns0:t>
            </ns0:r>
          </ns0:p>
        </ns0:tc>
        <ns0:tc>
          <ns0:tcPr/>
          <ns0:p>
            <ns0:pPr>
              <ns0:pStyle ns0:val="Compact"/>
              <ns0:jc ns0:val="left"/>
            </ns0:pPr>
            <ns0:r>
              <ns0:t xml:space="preserve">Age per 10 years</ns0:t>
            </ns0:r>
          </ns0:p>
        </ns0:tc>
        <ns0:tc>
          <ns0:tcPr/>
          <ns0:p>
            <ns0:pPr>
              <ns0:pStyle ns0:val="Compact"/>
              <ns0:jc ns0:val="right"/>
            </ns0:pPr>
            <ns0:r>
              <ns0:t xml:space="preserve">-0.323</ns0:t>
            </ns0:r>
          </ns0:p>
        </ns0:tc>
        <ns0:tc>
          <ns0:tcPr/>
          <ns0:p>
            <ns0:pPr>
              <ns0:pStyle ns0:val="Compact"/>
              <ns0:jc ns0:val="right"/>
            </ns0:pPr>
            <ns0:r>
              <ns0:t xml:space="preserve">0.231</ns0:t>
            </ns0:r>
          </ns0:p>
        </ns0:tc>
        <ns0:tc>
          <ns0:tcPr/>
          <ns0:p>
            <ns0:pPr>
              <ns0:pStyle ns0:val="Compact"/>
              <ns0:jc ns0:val="left"/>
            </ns0:pPr>
            <ns0:r>
              <ns0:t xml:space="preserve">-0.793 to 0.147</ns0:t>
            </ns0:r>
          </ns0:p>
        </ns0:tc>
        <ns0:tc>
          <ns0:tcPr/>
          <ns0:p>
            <ns0:pPr>
              <ns0:pStyle ns0:val="Compact"/>
              <ns0:jc ns0:val="right"/>
            </ns0:pPr>
            <ns0:r>
              <ns0:t xml:space="preserve">33</ns0:t>
            </ns0:r>
          </ns0:p>
        </ns0:tc>
      </ns0:tr>
      <ns0:tr>
        <ns0:tc>
          <ns0:tcPr/>
          <ns0:p>
            <ns0:pPr>
              <ns0:pStyle ns0:val="Compact"/>
              <ns0:jc ns0:val="left"/>
            </ns0:pPr>
            <ns0:r>
              <ns0:t xml:space="preserve">Prior operation</ns0:t>
            </ns0:r>
          </ns0:p>
        </ns0:tc>
        <ns0:tc>
          <ns0:tcPr/>
          <ns0:p>
            <ns0:pPr>
              <ns0:pStyle ns0:val="Compact"/>
              <ns0:jc ns0:val="left"/>
            </ns0:pPr>
            <ns0:r>
              <ns0:t xml:space="preserve">Log processing capacity</ns0:t>
            </ns0:r>
          </ns0:p>
        </ns0:tc>
        <ns0:tc>
          <ns0:tcPr/>
          <ns0:p>
            <ns0:pPr>
              <ns0:pStyle ns0:val="Compact"/>
              <ns0:jc ns0:val="right"/>
            </ns0:pPr>
            <ns0:r>
              <ns0:t xml:space="preserve">2.825</ns0:t>
            </ns0:r>
          </ns0:p>
        </ns0:tc>
        <ns0:tc>
          <ns0:tcPr/>
          <ns0:p>
            <ns0:pPr>
              <ns0:pStyle ns0:val="Compact"/>
              <ns0:jc ns0:val="right"/>
            </ns0:pPr>
            <ns0:r>
              <ns0:t xml:space="preserve">0.487</ns0:t>
            </ns0:r>
          </ns0:p>
        </ns0:tc>
        <ns0:tc>
          <ns0:tcPr/>
          <ns0:p>
            <ns0:pPr>
              <ns0:pStyle ns0:val="Compact"/>
              <ns0:jc ns0:val="left"/>
            </ns0:pPr>
            <ns0:r>
              <ns0:t xml:space="preserve">2.030 to 3.783</ns0:t>
            </ns0:r>
          </ns0:p>
        </ns0:tc>
        <ns0:tc>
          <ns0:tcPr/>
          <ns0:p>
            <ns0:pPr>
              <ns0:pStyle ns0:val="Compact"/>
              <ns0:jc ns0:val="right"/>
            </ns0:pPr>
            <ns0:r>
              <ns0:t xml:space="preserve">33</ns0:t>
            </ns0:r>
          </ns0:p>
        </ns0:tc>
      </ns0:tr>
      <ns0:tr>
        <ns0:tc>
          <ns0:tcPr/>
          <ns0:p>
            <ns0:pPr>
              <ns0:pStyle ns0:val="Compact"/>
              <ns0:jc ns0:val="left"/>
            </ns0:pPr>
            <ns0:r>
              <ns0:t xml:space="preserve">Prior operation</ns0:t>
            </ns0:r>
          </ns0:p>
        </ns0:tc>
        <ns0:tc>
          <ns0:tcPr/>
          <ns0:p>
            <ns0:pPr>
              <ns0:pStyle ns0:val="Compact"/>
              <ns0:jc ns0:val="left"/>
            </ns0:pPr>
            <ns0:r>
              <ns0:t xml:space="preserve">Calendar time per 5 years</ns0:t>
            </ns0:r>
          </ns0:p>
        </ns0:tc>
        <ns0:tc>
          <ns0:tcPr/>
          <ns0:p>
            <ns0:pPr>
              <ns0:pStyle ns0:val="Compact"/>
              <ns0:jc ns0:val="right"/>
            </ns0:pPr>
            <ns0:r>
              <ns0:t xml:space="preserve">0.652</ns0:t>
            </ns0:r>
          </ns0:p>
        </ns0:tc>
        <ns0:tc>
          <ns0:tcPr/>
          <ns0:p>
            <ns0:pPr>
              <ns0:pStyle ns0:val="Compact"/>
              <ns0:jc ns0:val="right"/>
            </ns0:pPr>
            <ns0:r>
              <ns0:t xml:space="preserve">0.318</ns0:t>
            </ns0:r>
          </ns0:p>
        </ns0:tc>
        <ns0:tc>
          <ns0:tcPr/>
          <ns0:p>
            <ns0:pPr>
              <ns0:pStyle ns0:val="Compact"/>
              <ns0:jc ns0:val="left"/>
            </ns0:pPr>
            <ns0:r>
              <ns0:t xml:space="preserve">-0.097 to 1.055</ns0:t>
            </ns0:r>
          </ns0:p>
        </ns0:tc>
        <ns0:tc>
          <ns0:tcPr/>
          <ns0:p>
            <ns0:pPr>
              <ns0:pStyle ns0:val="Compact"/>
              <ns0:jc ns0:val="right"/>
            </ns0:pPr>
            <ns0:r>
              <ns0:t xml:space="preserve">33</ns0:t>
            </ns0:r>
          </ns0:p>
        </ns0:tc>
      </ns0:tr>
      <ns0:tr>
        <ns0:tc>
          <ns0:tcPr/>
          <ns0:p>
            <ns0:pPr>
              <ns0:pStyle ns0:val="Compact"/>
              <ns0:jc ns0:val="left"/>
            </ns0:pPr>
            <ns0:r>
              <ns0:t xml:space="preserve">Prior operation</ns0:t>
            </ns0:r>
          </ns0:p>
        </ns0:tc>
        <ns0:tc>
          <ns0:tcPr/>
          <ns0:p>
            <ns0:pPr>
              <ns0:pStyle ns0:val="Compact"/>
              <ns0:jc ns0:val="left"/>
            </ns0:pPr>
            <ns0:r>
              <ns0:t xml:space="preserve">Log elapsed risk</ns0:t>
            </ns0:r>
          </ns0:p>
        </ns0:tc>
        <ns0:tc>
          <ns0:tcPr/>
          <ns0:p>
            <ns0:pPr>
              <ns0:pStyle ns0:val="Compact"/>
              <ns0:jc ns0:val="right"/>
            </ns0:pPr>
            <ns0:r>
              <ns0:t xml:space="preserve">-0.497</ns0:t>
            </ns0:r>
          </ns0:p>
        </ns0:tc>
        <ns0:tc>
          <ns0:tcPr/>
          <ns0:p>
            <ns0:pPr>
              <ns0:pStyle ns0:val="Compact"/>
              <ns0:jc ns0:val="right"/>
            </ns0:pPr>
            <ns0:r>
              <ns0:t xml:space="preserve">0.643</ns0:t>
            </ns0:r>
          </ns0:p>
        </ns0:tc>
        <ns0:tc>
          <ns0:tcPr/>
          <ns0:p>
            <ns0:pPr>
              <ns0:pStyle ns0:val="Compact"/>
              <ns0:jc ns0:val="left"/>
            </ns0:pPr>
            <ns0:r>
              <ns0:t xml:space="preserve">-1.469 to 1.347</ns0:t>
            </ns0:r>
          </ns0:p>
        </ns0:tc>
        <ns0:tc>
          <ns0:tcPr/>
          <ns0:p>
            <ns0:pPr>
              <ns0:pStyle ns0:val="Compact"/>
              <ns0:jc ns0:val="right"/>
            </ns0:pPr>
            <ns0:r>
              <ns0:t xml:space="preserve">33</ns0:t>
            </ns0:r>
          </ns0:p>
        </ns0:tc>
      </ns0:tr>
      <ns0:tr>
        <ns0:tc>
          <ns0:tcPr/>
          <ns0:p>
            <ns0:pPr>
              <ns0:pStyle ns0:val="Compact"/>
              <ns0:jc ns0:val="left"/>
            </ns0:pPr>
            <ns0:r>
              <ns0:t xml:space="preserve">Same asset episode (15,095 rows, 1,135 lineages)</ns0:t>
            </ns0:r>
          </ns0:p>
        </ns0:tc>
        <ns0:tc>
          <ns0:tcPr/>
          <ns0:p>
            <ns0:pPr>
              <ns0:pStyle ns0:val="Compact"/>
              <ns0:jc ns0:val="left"/>
            </ns0:pPr>
            <ns0:r>
              <ns0:t xml:space="preserve">Age per 10 years</ns0:t>
            </ns0:r>
          </ns0:p>
        </ns0:tc>
        <ns0:tc>
          <ns0:tcPr/>
          <ns0:p>
            <ns0:pPr>
              <ns0:pStyle ns0:val="Compact"/>
              <ns0:jc ns0:val="right"/>
            </ns0:pPr>
            <ns0:r>
              <ns0:t xml:space="preserve">-0.751</ns0:t>
            </ns0:r>
          </ns0:p>
        </ns0:tc>
        <ns0:tc>
          <ns0:tcPr/>
          <ns0:p>
            <ns0:pPr>
              <ns0:pStyle ns0:val="Compact"/>
              <ns0:jc ns0:val="right"/>
            </ns0:pPr>
            <ns0:r>
              <ns0:t xml:space="preserve">0.271</ns0:t>
            </ns0:r>
          </ns0:p>
        </ns0:tc>
        <ns0:tc>
          <ns0:tcPr/>
          <ns0:p>
            <ns0:pPr>
              <ns0:pStyle ns0:val="Compact"/>
              <ns0:jc ns0:val="left"/>
            </ns0:pPr>
            <ns0:r>
              <ns0:t xml:space="preserve">-1.364 to -0.206</ns0:t>
            </ns0:r>
          </ns0:p>
        </ns0:tc>
        <ns0:tc>
          <ns0:tcPr/>
          <ns0:p>
            <ns0:pPr>
              <ns0:pStyle ns0:val="Compact"/>
              <ns0:jc ns0:val="right"/>
            </ns0:pPr>
            <ns0:r>
              <ns0:t xml:space="preserve">24</ns0:t>
            </ns0:r>
          </ns0:p>
        </ns0:tc>
      </ns0:tr>
      <ns0:tr>
        <ns0:tc>
          <ns0:tcPr/>
          <ns0:p>
            <ns0:pPr>
              <ns0:pStyle ns0:val="Compact"/>
              <ns0:jc ns0:val="left"/>
            </ns0:pPr>
            <ns0:r>
              <ns0:t xml:space="preserve">Same asset episode</ns0:t>
            </ns0:r>
          </ns0:p>
        </ns0:tc>
        <ns0:tc>
          <ns0:tcPr/>
          <ns0:p>
            <ns0:pPr>
              <ns0:pStyle ns0:val="Compact"/>
              <ns0:jc ns0:val="left"/>
            </ns0:pPr>
            <ns0:r>
              <ns0:t xml:space="preserve">Log processing capacity</ns0:t>
            </ns0:r>
          </ns0:p>
        </ns0:tc>
        <ns0:tc>
          <ns0:tcPr/>
          <ns0:p>
            <ns0:pPr>
              <ns0:pStyle ns0:val="Compact"/>
              <ns0:jc ns0:val="right"/>
            </ns0:pPr>
            <ns0:r>
              <ns0:t xml:space="preserve">2.838</ns0:t>
            </ns0:r>
          </ns0:p>
        </ns0:tc>
        <ns0:tc>
          <ns0:tcPr/>
          <ns0:p>
            <ns0:pPr>
              <ns0:pStyle ns0:val="Compact"/>
              <ns0:jc ns0:val="right"/>
            </ns0:pPr>
            <ns0:r>
              <ns0:t xml:space="preserve">0.538</ns0:t>
            </ns0:r>
          </ns0:p>
        </ns0:tc>
        <ns0:tc>
          <ns0:tcPr/>
          <ns0:p>
            <ns0:pPr>
              <ns0:pStyle ns0:val="Compact"/>
              <ns0:jc ns0:val="left"/>
            </ns0:pPr>
            <ns0:r>
              <ns0:t xml:space="preserve">2.150 to 3.813</ns0:t>
            </ns0:r>
          </ns0:p>
        </ns0:tc>
        <ns0:tc>
          <ns0:tcPr/>
          <ns0:p>
            <ns0:pPr>
              <ns0:pStyle ns0:val="Compact"/>
              <ns0:jc ns0:val="right"/>
            </ns0:pPr>
            <ns0:r>
              <ns0:t xml:space="preserve">24</ns0:t>
            </ns0:r>
          </ns0:p>
        </ns0:tc>
      </ns0:tr>
      <ns0:tr>
        <ns0:tc>
          <ns0:tcPr/>
          <ns0:p>
            <ns0:pPr>
              <ns0:pStyle ns0:val="Compact"/>
              <ns0:jc ns0:val="left"/>
            </ns0:pPr>
            <ns0:r>
              <ns0:t xml:space="preserve">Same asset episode</ns0:t>
            </ns0:r>
          </ns0:p>
        </ns0:tc>
        <ns0:tc>
          <ns0:tcPr/>
          <ns0:p>
            <ns0:pPr>
              <ns0:pStyle ns0:val="Compact"/>
              <ns0:jc ns0:val="left"/>
            </ns0:pPr>
            <ns0:r>
              <ns0:t xml:space="preserve">Calendar time per 5 years</ns0:t>
            </ns0:r>
          </ns0:p>
        </ns0:tc>
        <ns0:tc>
          <ns0:tcPr/>
          <ns0:p>
            <ns0:pPr>
              <ns0:pStyle ns0:val="Compact"/>
              <ns0:jc ns0:val="right"/>
            </ns0:pPr>
            <ns0:r>
              <ns0:t xml:space="preserve">0.463</ns0:t>
            </ns0:r>
          </ns0:p>
        </ns0:tc>
        <ns0:tc>
          <ns0:tcPr/>
          <ns0:p>
            <ns0:pPr>
              <ns0:pStyle ns0:val="Compact"/>
              <ns0:jc ns0:val="right"/>
            </ns0:pPr>
            <ns0:r>
              <ns0:t xml:space="preserve">0.346</ns0:t>
            </ns0:r>
          </ns0:p>
        </ns0:tc>
        <ns0:tc>
          <ns0:tcPr/>
          <ns0:p>
            <ns0:pPr>
              <ns0:pStyle ns0:val="Compact"/>
              <ns0:jc ns0:val="left"/>
            </ns0:pPr>
            <ns0:r>
              <ns0:t xml:space="preserve">-0.544 to 0.916</ns0:t>
            </ns0:r>
          </ns0:p>
        </ns0:tc>
        <ns0:tc>
          <ns0:tcPr/>
          <ns0:p>
            <ns0:pPr>
              <ns0:pStyle ns0:val="Compact"/>
              <ns0:jc ns0:val="right"/>
            </ns0:pPr>
            <ns0:r>
              <ns0:t xml:space="preserve">24</ns0:t>
            </ns0:r>
          </ns0:p>
        </ns0:tc>
      </ns0:tr>
      <ns0:tr>
        <ns0:tc>
          <ns0:tcPr/>
          <ns0:p>
            <ns0:pPr>
              <ns0:pStyle ns0:val="Compact"/>
              <ns0:jc ns0:val="left"/>
            </ns0:pPr>
            <ns0:r>
              <ns0:t xml:space="preserve">Same asset episode</ns0:t>
            </ns0:r>
          </ns0:p>
        </ns0:tc>
        <ns0:tc>
          <ns0:tcPr/>
          <ns0:p>
            <ns0:pPr>
              <ns0:pStyle ns0:val="Compact"/>
              <ns0:jc ns0:val="left"/>
            </ns0:pPr>
            <ns0:r>
              <ns0:t xml:space="preserve">Log elapsed risk</ns0:t>
            </ns0:r>
          </ns0:p>
        </ns0:tc>
        <ns0:tc>
          <ns0:tcPr/>
          <ns0:p>
            <ns0:pPr>
              <ns0:pStyle ns0:val="Compact"/>
              <ns0:jc ns0:val="right"/>
            </ns0:pPr>
            <ns0:r>
              <ns0:t xml:space="preserve">0.047</ns0:t>
            </ns0:r>
          </ns0:p>
        </ns0:tc>
        <ns0:tc>
          <ns0:tcPr/>
          <ns0:p>
            <ns0:pPr>
              <ns0:pStyle ns0:val="Compact"/>
              <ns0:jc ns0:val="right"/>
            </ns0:pPr>
            <ns0:r>
              <ns0:t xml:space="preserve">0.740</ns0:t>
            </ns0:r>
          </ns0:p>
        </ns0:tc>
        <ns0:tc>
          <ns0:tcPr/>
          <ns0:p>
            <ns0:pPr>
              <ns0:pStyle ns0:val="Compact"/>
              <ns0:jc ns0:val="left"/>
            </ns0:pPr>
            <ns0:r>
              <ns0:t xml:space="preserve">-1.190 to 2.663</ns0:t>
            </ns0:r>
          </ns0:p>
        </ns0:tc>
        <ns0:tc>
          <ns0:tcPr/>
          <ns0:p>
            <ns0:pPr>
              <ns0:pStyle ns0:val="Compact"/>
              <ns0:jc ns0:val="right"/>
            </ns0:pPr>
            <ns0:r>
              <ns0:t xml:space="preserve">24</ns0:t>
            </ns0:r>
          </ns0:p>
        </ns0:tc>
      </ns0:tr>
      <ns0:tr>
        <ns0:tc>
          <ns0:tcPr/>
          <ns0:p>
            <ns0:pPr>
              <ns0:pStyle ns0:val="Compact"/>
              <ns0:jc ns0:val="left"/>
            </ns0:pPr>
            <ns0:r>
              <ns0:t xml:space="preserve">Identity certain (15,107 rows, 1,130 lineages)</ns0:t>
            </ns0:r>
          </ns0:p>
        </ns0:tc>
        <ns0:tc>
          <ns0:tcPr/>
          <ns0:p>
            <ns0:pPr>
              <ns0:pStyle ns0:val="Compact"/>
              <ns0:jc ns0:val="left"/>
            </ns0:pPr>
            <ns0:r>
              <ns0:t xml:space="preserve">Age per 10 years</ns0:t>
            </ns0:r>
          </ns0:p>
        </ns0:tc>
        <ns0:tc>
          <ns0:tcPr/>
          <ns0:p>
            <ns0:pPr>
              <ns0:pStyle ns0:val="Compact"/>
              <ns0:jc ns0:val="right"/>
            </ns0:pPr>
            <ns0:r>
              <ns0:t xml:space="preserve">-0.328</ns0:t>
            </ns0:r>
          </ns0:p>
        </ns0:tc>
        <ns0:tc>
          <ns0:tcPr/>
          <ns0:p>
            <ns0:pPr>
              <ns0:pStyle ns0:val="Compact"/>
              <ns0:jc ns0:val="right"/>
            </ns0:pPr>
            <ns0:r>
              <ns0:t xml:space="preserve">0.214</ns0:t>
            </ns0:r>
          </ns0:p>
        </ns0:tc>
        <ns0:tc>
          <ns0:tcPr/>
          <ns0:p>
            <ns0:pPr>
              <ns0:pStyle ns0:val="Compact"/>
              <ns0:jc ns0:val="left"/>
            </ns0:pPr>
            <ns0:r>
              <ns0:t xml:space="preserve">-0.791 to 0.065</ns0:t>
            </ns0:r>
          </ns0:p>
        </ns0:tc>
        <ns0:tc>
          <ns0:tcPr/>
          <ns0:p>
            <ns0:pPr>
              <ns0:pStyle ns0:val="Compact"/>
              <ns0:jc ns0:val="right"/>
            </ns0:pPr>
            <ns0:r>
              <ns0:t xml:space="preserve">35</ns0:t>
            </ns0:r>
          </ns0:p>
        </ns0:tc>
      </ns0:tr>
      <ns0:tr>
        <ns0:tc>
          <ns0:tcPr/>
          <ns0:p>
            <ns0:pPr>
              <ns0:pStyle ns0:val="Compact"/>
              <ns0:jc ns0:val="left"/>
            </ns0:pPr>
            <ns0:r>
              <ns0:t xml:space="preserve">Identity certain</ns0:t>
            </ns0:r>
          </ns0:p>
        </ns0:tc>
        <ns0:tc>
          <ns0:tcPr/>
          <ns0:p>
            <ns0:pPr>
              <ns0:pStyle ns0:val="Compact"/>
              <ns0:jc ns0:val="left"/>
            </ns0:pPr>
            <ns0:r>
              <ns0:t xml:space="preserve">Log processing capacity</ns0:t>
            </ns0:r>
          </ns0:p>
        </ns0:tc>
        <ns0:tc>
          <ns0:tcPr/>
          <ns0:p>
            <ns0:pPr>
              <ns0:pStyle ns0:val="Compact"/>
              <ns0:jc ns0:val="right"/>
            </ns0:pPr>
            <ns0:r>
              <ns0:t xml:space="preserve">2.758</ns0:t>
            </ns0:r>
          </ns0:p>
        </ns0:tc>
        <ns0:tc>
          <ns0:tcPr/>
          <ns0:p>
            <ns0:pPr>
              <ns0:pStyle ns0:val="Compact"/>
              <ns0:jc ns0:val="right"/>
            </ns0:pPr>
            <ns0:r>
              <ns0:t xml:space="preserve">0.429</ns0:t>
            </ns0:r>
          </ns0:p>
        </ns0:tc>
        <ns0:tc>
          <ns0:tcPr/>
          <ns0:p>
            <ns0:pPr>
              <ns0:pStyle ns0:val="Compact"/>
              <ns0:jc ns0:val="left"/>
            </ns0:pPr>
            <ns0:r>
              <ns0:t xml:space="preserve">2.081 to 3.620</ns0:t>
            </ns0:r>
          </ns0:p>
        </ns0:tc>
        <ns0:tc>
          <ns0:tcPr/>
          <ns0:p>
            <ns0:pPr>
              <ns0:pStyle ns0:val="Compact"/>
              <ns0:jc ns0:val="right"/>
            </ns0:pPr>
            <ns0:r>
              <ns0:t xml:space="preserve">35</ns0:t>
            </ns0:r>
          </ns0:p>
        </ns0:tc>
      </ns0:tr>
      <ns0:tr>
        <ns0:tc>
          <ns0:tcPr/>
          <ns0:p>
            <ns0:pPr>
              <ns0:pStyle ns0:val="Compact"/>
              <ns0:jc ns0:val="left"/>
            </ns0:pPr>
            <ns0:r>
              <ns0:t xml:space="preserve">Identity certain</ns0:t>
            </ns0:r>
          </ns0:p>
        </ns0:tc>
        <ns0:tc>
          <ns0:tcPr/>
          <ns0:p>
            <ns0:pPr>
              <ns0:pStyle ns0:val="Compact"/>
              <ns0:jc ns0:val="left"/>
            </ns0:pPr>
            <ns0:r>
              <ns0:t xml:space="preserve">Calendar time per 5 years</ns0:t>
            </ns0:r>
          </ns0:p>
        </ns0:tc>
        <ns0:tc>
          <ns0:tcPr/>
          <ns0:p>
            <ns0:pPr>
              <ns0:pStyle ns0:val="Compact"/>
              <ns0:jc ns0:val="right"/>
            </ns0:pPr>
            <ns0:r>
              <ns0:t xml:space="preserve">0.694</ns0:t>
            </ns0:r>
          </ns0:p>
        </ns0:tc>
        <ns0:tc>
          <ns0:tcPr/>
          <ns0:p>
            <ns0:pPr>
              <ns0:pStyle ns0:val="Compact"/>
              <ns0:jc ns0:val="right"/>
            </ns0:pPr>
            <ns0:r>
              <ns0:t xml:space="preserve">0.277</ns0:t>
            </ns0:r>
          </ns0:p>
        </ns0:tc>
        <ns0:tc>
          <ns0:tcPr/>
          <ns0:p>
            <ns0:pPr>
              <ns0:pStyle ns0:val="Compact"/>
              <ns0:jc ns0:val="left"/>
            </ns0:pPr>
            <ns0:r>
              <ns0:t xml:space="preserve">-0.017 to 1.146</ns0:t>
            </ns0:r>
          </ns0:p>
        </ns0:tc>
        <ns0:tc>
          <ns0:tcPr/>
          <ns0:p>
            <ns0:pPr>
              <ns0:pStyle ns0:val="Compact"/>
              <ns0:jc ns0:val="right"/>
            </ns0:pPr>
            <ns0:r>
              <ns0:t xml:space="preserve">35</ns0:t>
            </ns0:r>
          </ns0:p>
        </ns0:tc>
      </ns0:tr>
      <ns0:tr>
        <ns0:tc>
          <ns0:tcPr/>
          <ns0:p>
            <ns0:pPr>
              <ns0:pStyle ns0:val="Compact"/>
              <ns0:jc ns0:val="left"/>
            </ns0:pPr>
            <ns0:r>
              <ns0:t xml:space="preserve">Identity certain</ns0:t>
            </ns0:r>
          </ns0:p>
        </ns0:tc>
        <ns0:tc>
          <ns0:tcPr/>
          <ns0:p>
            <ns0:pPr>
              <ns0:pStyle ns0:val="Compact"/>
              <ns0:jc ns0:val="left"/>
            </ns0:pPr>
            <ns0:r>
              <ns0:t xml:space="preserve">Log elapsed risk</ns0:t>
            </ns0:r>
          </ns0:p>
        </ns0:tc>
        <ns0:tc>
          <ns0:tcPr/>
          <ns0:p>
            <ns0:pPr>
              <ns0:pStyle ns0:val="Compact"/>
              <ns0:jc ns0:val="right"/>
            </ns0:pPr>
            <ns0:r>
              <ns0:t xml:space="preserve">-0.639</ns0:t>
            </ns0:r>
          </ns0:p>
        </ns0:tc>
        <ns0:tc>
          <ns0:tcPr/>
          <ns0:p>
            <ns0:pPr>
              <ns0:pStyle ns0:val="Compact"/>
              <ns0:jc ns0:val="right"/>
            </ns0:pPr>
            <ns0:r>
              <ns0:t xml:space="preserve">0.580</ns0:t>
            </ns0:r>
          </ns0:p>
        </ns0:tc>
        <ns0:tc>
          <ns0:tcPr/>
          <ns0:p>
            <ns0:pPr>
              <ns0:pStyle ns0:val="Compact"/>
              <ns0:jc ns0:val="left"/>
            </ns0:pPr>
            <ns0:r>
              <ns0:t xml:space="preserve">-1.552 to 1.067</ns0:t>
            </ns0:r>
          </ns0:p>
        </ns0:tc>
        <ns0:tc>
          <ns0:tcPr/>
          <ns0:p>
            <ns0:pPr>
              <ns0:pStyle ns0:val="Compact"/>
              <ns0:jc ns0:val="right"/>
            </ns0:pPr>
            <ns0:r>
              <ns0:t xml:space="preserve">35</ns0:t>
            </ns0:r>
          </ns0:p>
        </ns0:tc>
      </ns0:tr>
    </ns0:tbl>
    <ns0:p>
      <ns0:pPr>
        <ns0:pStyle ns0:val="af"/>
      </ns0:pPr>
      <ns0:r>
        <ns0:t xml:space="preserve">The intercept is included in every fit but is not substantively interpreted.</ns0:t>
      </ns0:r>
      <ns0:r>
        <ns0:t xml:space="preserve"> </ns0:t>
      </ns0:r>
      <ns0:r>
        <ns0:t xml:space="preserve">Calendar time and elapsed risk are retained as nuisance controls and are not</ns0:t>
      </ns0:r>
      <ns0:r>
        <ns0:t xml:space="preserve"> </ns0:t>
      </ns0:r>
      <ns0:r>
        <ns0:t xml:space="preserve">interpreted separately because they are strongly correlated. Table B1 makes the</ns0:t>
      </ns0:r>
      <ns0:r>
        <ns0:t xml:space="preserve"> </ns0:t>
      </ns0:r>
      <ns0:r>
        <ns0:t xml:space="preserve">primary/sensitivity hierarchy explicit: only the broad exact-year frame is the</ns0:t>
      </ns0:r>
      <ns0:r>
        <ns0:t xml:space="preserve"> </ns0:t>
      </ns0:r>
      <ns0:r>
        <ns0:t xml:space="preserve">primary model.</ns0:t>
      </ns0:r>
    </ns0:p>
    <ns0:bookmarkEnd ns0:id="64"/>
    <ns0:bookmarkStart ns0:id="65" ns0:name="b.3-engineering-outcome-models"/>
    <ns0:p>
      <ns0:pPr>
        <ns0:pStyle ns0:val="21"/>
      </ns0:pPr>
      <ns0:r>
        <ns0:t xml:space="preserve">B.3 Engineering outcome models</ns0:t>
      </ns0:r>
    </ns0:p>
    <ns0:p>
      <ns0:pPr>
        <ns0:pStyle ns0:val="FirstParagraph"/>
      </ns0:pPr>
      <ns0:r>
        <ns0:t xml:space="preserve">The engineering models use 6,511 generator-years from 493 lineages and</ns0:t>
      </ns0:r>
      <ns0:r>
        <ns0:t xml:space="preserve"> </ns0:t>
      </ns0:r>
      <ns0:r>
        <ns0:t xml:space="preserve">lineage-clustered standard errors. Cohort contrasts use 2010 or later as the</ns0:t>
      </ns0:r>
      <ns0:r>
        <ns0:t xml:space="preserve"> </ns0:t>
      </ns0:r>
      <ns0:r>
        <ns0:t xml:space="preserve">reference. The shared controls are log processing capacity, furnace count,</ns0:t>
      </ns0:r>
      <ns0:r>
        <ns0:t xml:space="preserve"> </ns0:t>
      </ns0:r>
      <ns0:r>
        <ns0:t xml:space="preserve">furnace group, facility group, and fiscal-year indicators. The omitted</ns0:t>
      </ns0:r>
      <ns0:r>
        <ns0:t xml:space="preserve"> </ns0:t>
      </ns0:r>
      <ns0:r>
        <ns0:t xml:space="preserve">categories are fluidized-bed furnace, gasification/melting facility, and FY2005;</ns0:t>
      </ns0:r>
      <ns0:r>
        <ns0:t xml:space="preserve"> </ns0:t>
      </ns0:r>
      <ns0:r>
        <ns0:t xml:space="preserve">these are coding references rather than normative comparison standards. The</ns0:t>
      </ns0:r>
      <ns0:r>
        <ns0:t xml:space="preserve"> </ns0:t>
      </ns0:r>
      <ns0:r>
        <ns0:t xml:space="preserve">capacity-factor model additionally includes waste-processing utilization. The</ns0:t>
      </ns0:r>
      <ns0:r>
        <ns0:t xml:space="preserve"> </ns0:t>
      </ns0:r>
      <ns0:r>
        <ns0:t xml:space="preserve">gross-output model replaces log processing capacity with log annual throughput</ns0:t>
      </ns0:r>
      <ns0:r>
        <ns0:t xml:space="preserve"> </ns0:t>
      </ns0:r>
      <ns0:r>
        <ns0:t xml:space="preserve">and log installed capacity.</ns0:t>
      </ns0:r>
    </ns0:p>
    <ns0:p>
      <ns0:pPr>
        <ns0:pStyle ns0:val="af"/>
      </ns0:pPr>
      <ns0:r>
        <ns0:rPr>
          <ns0:b/>
          <ns0:bCs/>
        </ns0:rPr>
        <ns0:t xml:space="preserve">Table B2. Engineering model focal coefficients</ns0:t>
      </ns0:r>
    </ns0:p>
    <ns0:tbl>
      <ns0:tblPr>
        <ns0:tblStyle ns0:val="Table"/>
        <ns0:tblW ns0:type="pct" ns0:w="5000"/>
        <ns0:tblLayout ns0:type="fixed"/>
        <ns0:tblLook ns0:firstRow="1" ns0:lastRow="0" ns0:firstColumn="0" ns0:lastColumn="0" ns0:noHBand="0" ns0:noVBand="0" ns0:val="0020"/>
      </ns0:tblPr>
      <ns0:tblGrid>
        <ns0:gridCol ns0:w="1320"/>
        <ns0:gridCol ns0:w="1320"/>
        <ns0:gridCol ns0:w="1320"/>
        <ns0:gridCol ns0:w="1320"/>
        <ns0:gridCol ns0:w="1320"/>
        <ns0:gridCol ns0:w="1320"/>
      </ns0:tblGrid>
      <ns0:tr>
        <ns0:trPr>
          <ns0:tblHeader ns0:val="on"/>
        </ns0:trPr>
        <ns0:tc>
          <ns0:tcPr/>
          <ns0:p>
            <ns0:pPr>
              <ns0:pStyle ns0:val="Compact"/>
              <ns0:jc ns0:val="left"/>
            </ns0:pPr>
            <ns0:r>
              <ns0:t xml:space="preserve">Outcome</ns0:t>
            </ns0:r>
          </ns0:p>
        </ns0:tc>
        <ns0:tc>
          <ns0:tcPr/>
          <ns0:p>
            <ns0:pPr>
              <ns0:pStyle ns0:val="Compact"/>
              <ns0:jc ns0:val="left"/>
            </ns0:pPr>
            <ns0:r>
              <ns0:t xml:space="preserve">Term</ns0:t>
            </ns0:r>
          </ns0:p>
        </ns0:tc>
        <ns0:tc>
          <ns0:tcPr/>
          <ns0:p>
            <ns0:pPr>
              <ns0:pStyle ns0:val="Compact"/>
              <ns0:jc ns0:val="right"/>
            </ns0:pPr>
            <ns0:r>
              <ns0:t xml:space="preserve">Coefficient</ns0:t>
            </ns0:r>
          </ns0:p>
        </ns0:tc>
        <ns0:tc>
          <ns0:tcPr/>
          <ns0:p>
            <ns0:pPr>
              <ns0:pStyle ns0:val="Compact"/>
              <ns0:jc ns0:val="right"/>
            </ns0:pPr>
            <ns0:r>
              <ns0:t xml:space="preserve">Lineage-clustered SE</ns0:t>
            </ns0:r>
          </ns0:p>
        </ns0:tc>
        <ns0:tc>
          <ns0:tcPr/>
          <ns0:p>
            <ns0:pPr>
              <ns0:pStyle ns0:val="Compact"/>
              <ns0:jc ns0:val="left"/>
            </ns0:pPr>
            <ns0:r>
              <ns0:t xml:space="preserve">95% CI</ns0:t>
            </ns0:r>
          </ns0:p>
        </ns0:tc>
        <ns0:tc>
          <ns0:tcPr/>
          <ns0:p>
            <ns0:pPr>
              <ns0:pStyle ns0:val="Compact"/>
              <ns0:jc ns0:val="right"/>
            </ns0:pPr>
            <ns5:oMath>
              <ns5:sSup>
                <ns5:e>
                  <ns5:r>
                    <ns5:t>R</ns5:t>
                  </ns5:r>
                </ns5:e>
                <ns5:sup>
                  <ns5:r>
                    <ns5:t>2</ns5:t>
                  </ns5:r>
                </ns5:sup>
              </ns5:sSup>
            </ns5:oMath>
          </ns0:p>
        </ns0:tc>
      </ns0:tr>
      <ns0:tr>
        <ns0:tc>
          <ns0:tcPr/>
          <ns0:p>
            <ns0:pPr>
              <ns0:pStyle ns0:val="Compact"/>
              <ns0:jc ns0:val="left"/>
            </ns0:pPr>
            <ns0:r>
              <ns0:t xml:space="preserve">Log installed capacity (kW)</ns0:t>
            </ns0:r>
          </ns0:p>
        </ns0:tc>
        <ns0:tc>
          <ns0:tcPr/>
          <ns0:p>
            <ns0:pPr>
              <ns0:pStyle ns0:val="Compact"/>
              <ns0:jc ns0:val="left"/>
            </ns0:pPr>
            <ns0:r>
              <ns0:t xml:space="preserve">Before 1990 cohort</ns0:t>
            </ns0:r>
          </ns0:p>
        </ns0:tc>
        <ns0:tc>
          <ns0:tcPr/>
          <ns0:p>
            <ns0:pPr>
              <ns0:pStyle ns0:val="Compact"/>
              <ns0:jc ns0:val="right"/>
            </ns0:pPr>
            <ns0:r>
              <ns0:t xml:space="preserve">-1.565</ns0:t>
            </ns0:r>
          </ns0:p>
        </ns0:tc>
        <ns0:tc>
          <ns0:tcPr/>
          <ns0:p>
            <ns0:pPr>
              <ns0:pStyle ns0:val="Compact"/>
              <ns0:jc ns0:val="right"/>
            </ns0:pPr>
            <ns0:r>
              <ns0:t xml:space="preserve">0.084</ns0:t>
            </ns0:r>
          </ns0:p>
        </ns0:tc>
        <ns0:tc>
          <ns0:tcPr/>
          <ns0:p>
            <ns0:pPr>
              <ns0:pStyle ns0:val="Compact"/>
              <ns0:jc ns0:val="left"/>
            </ns0:pPr>
            <ns0:r>
              <ns0:t xml:space="preserve">-1.730 to -1.399</ns0:t>
            </ns0:r>
          </ns0:p>
        </ns0:tc>
        <ns0:tc>
          <ns0:tcPr/>
          <ns0:p>
            <ns0:pPr>
              <ns0:pStyle ns0:val="Compact"/>
              <ns0:jc ns0:val="right"/>
            </ns0:pPr>
            <ns0:r>
              <ns0:t xml:space="preserve">0.786</ns0:t>
            </ns0:r>
          </ns0:p>
        </ns0:tc>
      </ns0:tr>
      <ns0:tr>
        <ns0:tc>
          <ns0:tcPr/>
          <ns0:p>
            <ns0:pPr>
              <ns0:pStyle ns0:val="Compact"/>
              <ns0:jc ns0:val="left"/>
            </ns0:pPr>
            <ns0:r>
              <ns0:t xml:space="preserve">Log installed capacity (kW)</ns0:t>
            </ns0:r>
          </ns0:p>
        </ns0:tc>
        <ns0:tc>
          <ns0:tcPr/>
          <ns0:p>
            <ns0:pPr>
              <ns0:pStyle ns0:val="Compact"/>
              <ns0:jc ns0:val="left"/>
            </ns0:pPr>
            <ns0:r>
              <ns0:t xml:space="preserve">1990-1999 cohort</ns0:t>
            </ns0:r>
          </ns0:p>
        </ns0:tc>
        <ns0:tc>
          <ns0:tcPr/>
          <ns0:p>
            <ns0:pPr>
              <ns0:pStyle ns0:val="Compact"/>
              <ns0:jc ns0:val="right"/>
            </ns0:pPr>
            <ns0:r>
              <ns0:t xml:space="preserve">-0.883</ns0:t>
            </ns0:r>
          </ns0:p>
        </ns0:tc>
        <ns0:tc>
          <ns0:tcPr/>
          <ns0:p>
            <ns0:pPr>
              <ns0:pStyle ns0:val="Compact"/>
              <ns0:jc ns0:val="right"/>
            </ns0:pPr>
            <ns0:r>
              <ns0:t xml:space="preserve">0.063</ns0:t>
            </ns0:r>
          </ns0:p>
        </ns0:tc>
        <ns0:tc>
          <ns0:tcPr/>
          <ns0:p>
            <ns0:pPr>
              <ns0:pStyle ns0:val="Compact"/>
              <ns0:jc ns0:val="left"/>
            </ns0:pPr>
            <ns0:r>
              <ns0:t xml:space="preserve">-1.007 to -0.758</ns0:t>
            </ns0:r>
          </ns0:p>
        </ns0:tc>
        <ns0:tc>
          <ns0:tcPr/>
          <ns0:p>
            <ns0:pPr>
              <ns0:pStyle ns0:val="Compact"/>
              <ns0:jc ns0:val="right"/>
            </ns0:pPr>
            <ns0:r>
              <ns0:t xml:space="preserve">0.786</ns0:t>
            </ns0:r>
          </ns0:p>
        </ns0:tc>
      </ns0:tr>
      <ns0:tr>
        <ns0:tc>
          <ns0:tcPr/>
          <ns0:p>
            <ns0:pPr>
              <ns0:pStyle ns0:val="Compact"/>
              <ns0:jc ns0:val="left"/>
            </ns0:pPr>
            <ns0:r>
              <ns0:t xml:space="preserve">Log installed capacity (kW)</ns0:t>
            </ns0:r>
          </ns0:p>
        </ns0:tc>
        <ns0:tc>
          <ns0:tcPr/>
          <ns0:p>
            <ns0:pPr>
              <ns0:pStyle ns0:val="Compact"/>
              <ns0:jc ns0:val="left"/>
            </ns0:pPr>
            <ns0:r>
              <ns0:t xml:space="preserve">2000-2009 cohort</ns0:t>
            </ns0:r>
          </ns0:p>
        </ns0:tc>
        <ns0:tc>
          <ns0:tcPr/>
          <ns0:p>
            <ns0:pPr>
              <ns0:pStyle ns0:val="Compact"/>
              <ns0:jc ns0:val="right"/>
            </ns0:pPr>
            <ns0:r>
              <ns0:t xml:space="preserve">-0.267</ns0:t>
            </ns0:r>
          </ns0:p>
        </ns0:tc>
        <ns0:tc>
          <ns0:tcPr/>
          <ns0:p>
            <ns0:pPr>
              <ns0:pStyle ns0:val="Compact"/>
              <ns0:jc ns0:val="right"/>
            </ns0:pPr>
            <ns0:r>
              <ns0:t xml:space="preserve">0.043</ns0:t>
            </ns0:r>
          </ns0:p>
        </ns0:tc>
        <ns0:tc>
          <ns0:tcPr/>
          <ns0:p>
            <ns0:pPr>
              <ns0:pStyle ns0:val="Compact"/>
              <ns0:jc ns0:val="left"/>
            </ns0:pPr>
            <ns0:r>
              <ns0:t xml:space="preserve">-0.352 to -0.183</ns0:t>
            </ns0:r>
          </ns0:p>
        </ns0:tc>
        <ns0:tc>
          <ns0:tcPr/>
          <ns0:p>
            <ns0:pPr>
              <ns0:pStyle ns0:val="Compact"/>
              <ns0:jc ns0:val="right"/>
            </ns0:pPr>
            <ns0:r>
              <ns0:t xml:space="preserve">0.786</ns0:t>
            </ns0:r>
          </ns0:p>
        </ns0:tc>
      </ns0:tr>
      <ns0:tr>
        <ns0:tc>
          <ns0:tcPr/>
          <ns0:p>
            <ns0:pPr>
              <ns0:pStyle ns0:val="Compact"/>
              <ns0:jc ns0:val="left"/>
            </ns0:pPr>
            <ns0:r>
              <ns0:t xml:space="preserve">Log installed capacity (kW)</ns0:t>
            </ns0:r>
          </ns0:p>
        </ns0:tc>
        <ns0:tc>
          <ns0:tcPr/>
          <ns0:p>
            <ns0:pPr>
              <ns0:pStyle ns0:val="Compact"/>
              <ns0:jc ns0:val="left"/>
            </ns0:pPr>
            <ns0:r>
              <ns0:t xml:space="preserve">Log processing capacity</ns0:t>
            </ns0:r>
          </ns0:p>
        </ns0:tc>
        <ns0:tc>
          <ns0:tcPr/>
          <ns0:p>
            <ns0:pPr>
              <ns0:pStyle ns0:val="Compact"/>
              <ns0:jc ns0:val="right"/>
            </ns0:pPr>
            <ns0:r>
              <ns0:t xml:space="preserve">1.532</ns0:t>
            </ns0:r>
          </ns0:p>
        </ns0:tc>
        <ns0:tc>
          <ns0:tcPr/>
          <ns0:p>
            <ns0:pPr>
              <ns0:pStyle ns0:val="Compact"/>
              <ns0:jc ns0:val="right"/>
            </ns0:pPr>
            <ns0:r>
              <ns0:t xml:space="preserve">0.044</ns0:t>
            </ns0:r>
          </ns0:p>
        </ns0:tc>
        <ns0:tc>
          <ns0:tcPr/>
          <ns0:p>
            <ns0:pPr>
              <ns0:pStyle ns0:val="Compact"/>
              <ns0:jc ns0:val="left"/>
            </ns0:pPr>
            <ns0:r>
              <ns0:t xml:space="preserve">1.447 to 1.617</ns0:t>
            </ns0:r>
          </ns0:p>
        </ns0:tc>
        <ns0:tc>
          <ns0:tcPr/>
          <ns0:p>
            <ns0:pPr>
              <ns0:pStyle ns0:val="Compact"/>
              <ns0:jc ns0:val="right"/>
            </ns0:pPr>
            <ns0:r>
              <ns0:t xml:space="preserve">0.786</ns0:t>
            </ns0:r>
          </ns0:p>
        </ns0:tc>
      </ns0:tr>
      <ns0:tr>
        <ns0:tc>
          <ns0:tcPr/>
          <ns0:p>
            <ns0:pPr>
              <ns0:pStyle ns0:val="Compact"/>
              <ns0:jc ns0:val="left"/>
            </ns0:pPr>
            <ns0:r>
              <ns0:t xml:space="preserve">Log electrical capacity factor</ns0:t>
            </ns0:r>
          </ns0:p>
        </ns0:tc>
        <ns0:tc>
          <ns0:tcPr/>
          <ns0:p>
            <ns0:pPr>
              <ns0:pStyle ns0:val="Compact"/>
              <ns0:jc ns0:val="left"/>
            </ns0:pPr>
            <ns0:r>
              <ns0:t xml:space="preserve">Before 1990 cohort</ns0:t>
            </ns0:r>
          </ns0:p>
        </ns0:tc>
        <ns0:tc>
          <ns0:tcPr/>
          <ns0:p>
            <ns0:pPr>
              <ns0:pStyle ns0:val="Compact"/>
              <ns0:jc ns0:val="right"/>
            </ns0:pPr>
            <ns0:r>
              <ns0:t xml:space="preserve">0.302</ns0:t>
            </ns0:r>
          </ns0:p>
        </ns0:tc>
        <ns0:tc>
          <ns0:tcPr/>
          <ns0:p>
            <ns0:pPr>
              <ns0:pStyle ns0:val="Compact"/>
              <ns0:jc ns0:val="right"/>
            </ns0:pPr>
            <ns0:r>
              <ns0:t xml:space="preserve">0.042</ns0:t>
            </ns0:r>
          </ns0:p>
        </ns0:tc>
        <ns0:tc>
          <ns0:tcPr/>
          <ns0:p>
            <ns0:pPr>
              <ns0:pStyle ns0:val="Compact"/>
              <ns0:jc ns0:val="left"/>
            </ns0:pPr>
            <ns0:r>
              <ns0:t xml:space="preserve">0.220 to 0.384</ns0:t>
            </ns0:r>
          </ns0:p>
        </ns0:tc>
        <ns0:tc>
          <ns0:tcPr/>
          <ns0:p>
            <ns0:pPr>
              <ns0:pStyle ns0:val="Compact"/>
              <ns0:jc ns0:val="right"/>
            </ns0:pPr>
            <ns0:r>
              <ns0:t xml:space="preserve">0.339</ns0:t>
            </ns0:r>
          </ns0:p>
        </ns0:tc>
      </ns0:tr>
      <ns0:tr>
        <ns0:tc>
          <ns0:tcPr/>
          <ns0:p>
            <ns0:pPr>
              <ns0:pStyle ns0:val="Compact"/>
              <ns0:jc ns0:val="left"/>
            </ns0:pPr>
            <ns0:r>
              <ns0:t xml:space="preserve">Log electrical capacity factor</ns0:t>
            </ns0:r>
          </ns0:p>
        </ns0:tc>
        <ns0:tc>
          <ns0:tcPr/>
          <ns0:p>
            <ns0:pPr>
              <ns0:pStyle ns0:val="Compact"/>
              <ns0:jc ns0:val="left"/>
            </ns0:pPr>
            <ns0:r>
              <ns0:t xml:space="preserve">1990-1999 cohort</ns0:t>
            </ns0:r>
          </ns0:p>
        </ns0:tc>
        <ns0:tc>
          <ns0:tcPr/>
          <ns0:p>
            <ns0:pPr>
              <ns0:pStyle ns0:val="Compact"/>
              <ns0:jc ns0:val="right"/>
            </ns0:pPr>
            <ns0:r>
              <ns0:t xml:space="preserve">0.198</ns0:t>
            </ns0:r>
          </ns0:p>
        </ns0:tc>
        <ns0:tc>
          <ns0:tcPr/>
          <ns0:p>
            <ns0:pPr>
              <ns0:pStyle ns0:val="Compact"/>
              <ns0:jc ns0:val="right"/>
            </ns0:pPr>
            <ns0:r>
              <ns0:t xml:space="preserve">0.032</ns0:t>
            </ns0:r>
          </ns0:p>
        </ns0:tc>
        <ns0:tc>
          <ns0:tcPr/>
          <ns0:p>
            <ns0:pPr>
              <ns0:pStyle ns0:val="Compact"/>
              <ns0:jc ns0:val="left"/>
            </ns0:pPr>
            <ns0:r>
              <ns0:t xml:space="preserve">0.135 to 0.262</ns0:t>
            </ns0:r>
          </ns0:p>
        </ns0:tc>
        <ns0:tc>
          <ns0:tcPr/>
          <ns0:p>
            <ns0:pPr>
              <ns0:pStyle ns0:val="Compact"/>
              <ns0:jc ns0:val="right"/>
            </ns0:pPr>
            <ns0:r>
              <ns0:t xml:space="preserve">0.339</ns0:t>
            </ns0:r>
          </ns0:p>
        </ns0:tc>
      </ns0:tr>
      <ns0:tr>
        <ns0:tc>
          <ns0:tcPr/>
          <ns0:p>
            <ns0:pPr>
              <ns0:pStyle ns0:val="Compact"/>
              <ns0:jc ns0:val="left"/>
            </ns0:pPr>
            <ns0:r>
              <ns0:t xml:space="preserve">Log electrical capacity factor</ns0:t>
            </ns0:r>
          </ns0:p>
        </ns0:tc>
        <ns0:tc>
          <ns0:tcPr/>
          <ns0:p>
            <ns0:pPr>
              <ns0:pStyle ns0:val="Compact"/>
              <ns0:jc ns0:val="left"/>
            </ns0:pPr>
            <ns0:r>
              <ns0:t xml:space="preserve">2000-2009 cohort</ns0:t>
            </ns0:r>
          </ns0:p>
        </ns0:tc>
        <ns0:tc>
          <ns0:tcPr/>
          <ns0:p>
            <ns0:pPr>
              <ns0:pStyle ns0:val="Compact"/>
              <ns0:jc ns0:val="right"/>
            </ns0:pPr>
            <ns0:r>
              <ns0:t xml:space="preserve">0.015</ns0:t>
            </ns0:r>
          </ns0:p>
        </ns0:tc>
        <ns0:tc>
          <ns0:tcPr/>
          <ns0:p>
            <ns0:pPr>
              <ns0:pStyle ns0:val="Compact"/>
              <ns0:jc ns0:val="right"/>
            </ns0:pPr>
            <ns0:r>
              <ns0:t xml:space="preserve">0.029</ns0:t>
            </ns0:r>
          </ns0:p>
        </ns0:tc>
        <ns0:tc>
          <ns0:tcPr/>
          <ns0:p>
            <ns0:pPr>
              <ns0:pStyle ns0:val="Compact"/>
              <ns0:jc ns0:val="left"/>
            </ns0:pPr>
            <ns0:r>
              <ns0:t xml:space="preserve">-0.042 to 0.072</ns0:t>
            </ns0:r>
          </ns0:p>
        </ns0:tc>
        <ns0:tc>
          <ns0:tcPr/>
          <ns0:p>
            <ns0:pPr>
              <ns0:pStyle ns0:val="Compact"/>
              <ns0:jc ns0:val="right"/>
            </ns0:pPr>
            <ns0:r>
              <ns0:t xml:space="preserve">0.339</ns0:t>
            </ns0:r>
          </ns0:p>
        </ns0:tc>
      </ns0:tr>
      <ns0:tr>
        <ns0:tc>
          <ns0:tcPr/>
          <ns0:p>
            <ns0:pPr>
              <ns0:pStyle ns0:val="Compact"/>
              <ns0:jc ns0:val="left"/>
            </ns0:pPr>
            <ns0:r>
              <ns0:t xml:space="preserve">Log electrical capacity factor</ns0:t>
            </ns0:r>
          </ns0:p>
        </ns0:tc>
        <ns0:tc>
          <ns0:tcPr/>
          <ns0:p>
            <ns0:pPr>
              <ns0:pStyle ns0:val="Compact"/>
              <ns0:jc ns0:val="left"/>
            </ns0:pPr>
            <ns0:r>
              <ns0:t xml:space="preserve">Log processing capacity</ns0:t>
            </ns0:r>
          </ns0:p>
        </ns0:tc>
        <ns0:tc>
          <ns0:tcPr/>
          <ns0:p>
            <ns0:pPr>
              <ns0:pStyle ns0:val="Compact"/>
              <ns0:jc ns0:val="right"/>
            </ns0:pPr>
            <ns0:r>
              <ns0:t xml:space="preserve">-0.116</ns0:t>
            </ns0:r>
          </ns0:p>
        </ns0:tc>
        <ns0:tc>
          <ns0:tcPr/>
          <ns0:p>
            <ns0:pPr>
              <ns0:pStyle ns0:val="Compact"/>
              <ns0:jc ns0:val="right"/>
            </ns0:pPr>
            <ns0:r>
              <ns0:t xml:space="preserve">0.024</ns0:t>
            </ns0:r>
          </ns0:p>
        </ns0:tc>
        <ns0:tc>
          <ns0:tcPr/>
          <ns0:p>
            <ns0:pPr>
              <ns0:pStyle ns0:val="Compact"/>
              <ns0:jc ns0:val="left"/>
            </ns0:pPr>
            <ns0:r>
              <ns0:t xml:space="preserve">-0.162 to -0.070</ns0:t>
            </ns0:r>
          </ns0:p>
        </ns0:tc>
        <ns0:tc>
          <ns0:tcPr/>
          <ns0:p>
            <ns0:pPr>
              <ns0:pStyle ns0:val="Compact"/>
              <ns0:jc ns0:val="right"/>
            </ns0:pPr>
            <ns0:r>
              <ns0:t xml:space="preserve">0.339</ns0:t>
            </ns0:r>
          </ns0:p>
        </ns0:tc>
      </ns0:tr>
      <ns0:tr>
        <ns0:tc>
          <ns0:tcPr/>
          <ns0:p>
            <ns0:pPr>
              <ns0:pStyle ns0:val="Compact"/>
              <ns0:jc ns0:val="left"/>
            </ns0:pPr>
            <ns0:r>
              <ns0:t xml:space="preserve">Log electrical capacity factor</ns0:t>
            </ns0:r>
          </ns0:p>
        </ns0:tc>
        <ns0:tc>
          <ns0:tcPr/>
          <ns0:p>
            <ns0:pPr>
              <ns0:pStyle ns0:val="Compact"/>
              <ns0:jc ns0:val="left"/>
            </ns0:pPr>
            <ns0:r>
              <ns0:t xml:space="preserve">Waste-processing utilization</ns0:t>
            </ns0:r>
          </ns0:p>
        </ns0:tc>
        <ns0:tc>
          <ns0:tcPr/>
          <ns0:p>
            <ns0:pPr>
              <ns0:pStyle ns0:val="Compact"/>
              <ns0:jc ns0:val="right"/>
            </ns0:pPr>
            <ns0:r>
              <ns0:t xml:space="preserve">1.695</ns0:t>
            </ns0:r>
          </ns0:p>
        </ns0:tc>
        <ns0:tc>
          <ns0:tcPr/>
          <ns0:p>
            <ns0:pPr>
              <ns0:pStyle ns0:val="Compact"/>
              <ns0:jc ns0:val="right"/>
            </ns0:pPr>
            <ns0:r>
              <ns0:t xml:space="preserve">0.126</ns0:t>
            </ns0:r>
          </ns0:p>
        </ns0:tc>
        <ns0:tc>
          <ns0:tcPr/>
          <ns0:p>
            <ns0:pPr>
              <ns0:pStyle ns0:val="Compact"/>
              <ns0:jc ns0:val="left"/>
            </ns0:pPr>
            <ns0:r>
              <ns0:t xml:space="preserve">1.448 to 1.942</ns0:t>
            </ns0:r>
          </ns0:p>
        </ns0:tc>
        <ns0:tc>
          <ns0:tcPr/>
          <ns0:p>
            <ns0:pPr>
              <ns0:pStyle ns0:val="Compact"/>
              <ns0:jc ns0:val="right"/>
            </ns0:pPr>
            <ns0:r>
              <ns0:t xml:space="preserve">0.339</ns0:t>
            </ns0:r>
          </ns0:p>
        </ns0:tc>
      </ns0:tr>
      <ns0:tr>
        <ns0:tc>
          <ns0:tcPr/>
          <ns0:p>
            <ns0:pPr>
              <ns0:pStyle ns0:val="Compact"/>
              <ns0:jc ns0:val="left"/>
            </ns0:pPr>
            <ns0:r>
              <ns0:t xml:space="preserve">Log gross generation (MWh)</ns0:t>
            </ns0:r>
          </ns0:p>
        </ns0:tc>
        <ns0:tc>
          <ns0:tcPr/>
          <ns0:p>
            <ns0:pPr>
              <ns0:pStyle ns0:val="Compact"/>
              <ns0:jc ns0:val="left"/>
            </ns0:pPr>
            <ns0:r>
              <ns0:t xml:space="preserve">Log annual throughput</ns0:t>
            </ns0:r>
          </ns0:p>
        </ns0:tc>
        <ns0:tc>
          <ns0:tcPr/>
          <ns0:p>
            <ns0:pPr>
              <ns0:pStyle ns0:val="Compact"/>
              <ns0:jc ns0:val="right"/>
            </ns0:pPr>
            <ns0:r>
              <ns0:t xml:space="preserve">0.638</ns0:t>
            </ns0:r>
          </ns0:p>
        </ns0:tc>
        <ns0:tc>
          <ns0:tcPr/>
          <ns0:p>
            <ns0:pPr>
              <ns0:pStyle ns0:val="Compact"/>
              <ns0:jc ns0:val="right"/>
            </ns0:pPr>
            <ns0:r>
              <ns0:t xml:space="preserve">0.052</ns0:t>
            </ns0:r>
          </ns0:p>
        </ns0:tc>
        <ns0:tc>
          <ns0:tcPr/>
          <ns0:p>
            <ns0:pPr>
              <ns0:pStyle ns0:val="Compact"/>
              <ns0:jc ns0:val="left"/>
            </ns0:pPr>
            <ns0:r>
              <ns0:t xml:space="preserve">0.536 to 0.740</ns0:t>
            </ns0:r>
          </ns0:p>
        </ns0:tc>
        <ns0:tc>
          <ns0:tcPr/>
          <ns0:p>
            <ns0:pPr>
              <ns0:pStyle ns0:val="Compact"/>
              <ns0:jc ns0:val="right"/>
            </ns0:pPr>
            <ns0:r>
              <ns0:t xml:space="preserve">0.914</ns0:t>
            </ns0:r>
          </ns0:p>
        </ns0:tc>
      </ns0:tr>
      <ns0:tr>
        <ns0:tc>
          <ns0:tcPr/>
          <ns0:p>
            <ns0:pPr>
              <ns0:pStyle ns0:val="Compact"/>
              <ns0:jc ns0:val="left"/>
            </ns0:pPr>
            <ns0:r>
              <ns0:t xml:space="preserve">Log gross generation (MWh)</ns0:t>
            </ns0:r>
          </ns0:p>
        </ns0:tc>
        <ns0:tc>
          <ns0:tcPr/>
          <ns0:p>
            <ns0:pPr>
              <ns0:pStyle ns0:val="Compact"/>
              <ns0:jc ns0:val="left"/>
            </ns0:pPr>
            <ns0:r>
              <ns0:t xml:space="preserve">Log installed capacity</ns0:t>
            </ns0:r>
          </ns0:p>
        </ns0:tc>
        <ns0:tc>
          <ns0:tcPr/>
          <ns0:p>
            <ns0:pPr>
              <ns0:pStyle ns0:val="Compact"/>
              <ns0:jc ns0:val="right"/>
            </ns0:pPr>
            <ns0:r>
              <ns0:t xml:space="preserve">0.576</ns0:t>
            </ns0:r>
          </ns0:p>
        </ns0:tc>
        <ns0:tc>
          <ns0:tcPr/>
          <ns0:p>
            <ns0:pPr>
              <ns0:pStyle ns0:val="Compact"/>
              <ns0:jc ns0:val="right"/>
            </ns0:pPr>
            <ns0:r>
              <ns0:t xml:space="preserve">0.038</ns0:t>
            </ns0:r>
          </ns0:p>
        </ns0:tc>
        <ns0:tc>
          <ns0:tcPr/>
          <ns0:p>
            <ns0:pPr>
              <ns0:pStyle ns0:val="Compact"/>
              <ns0:jc ns0:val="left"/>
            </ns0:pPr>
            <ns0:r>
              <ns0:t xml:space="preserve">0.502 to 0.650</ns0:t>
            </ns0:r>
          </ns0:p>
        </ns0:tc>
        <ns0:tc>
          <ns0:tcPr/>
          <ns0:p>
            <ns0:pPr>
              <ns0:pStyle ns0:val="Compact"/>
              <ns0:jc ns0:val="right"/>
            </ns0:pPr>
            <ns0:r>
              <ns0:t xml:space="preserve">0.914</ns0:t>
            </ns0:r>
          </ns0:p>
        </ns0:tc>
      </ns0:tr>
    </ns0:tbl>
    <ns0:p>
      <ns0:pPr>
        <ns0:pStyle ns0:val="af"/>
      </ns0:pPr>
      <ns0:r>
        <ns0:t xml:space="preserve">Table B2 reports every focal coefficient used for the RQ3 interpretation.</ns0:t>
      </ns0:r>
      <ns0:r>
        <ns0:t xml:space="preserve"> </ns0:t>
      </ns0:r>
      <ns0:r>
        <ns0:t xml:space="preserve">Furnace-group, facility-group, furnace-count, fiscal-year, and intercept</ns0:t>
      </ns0:r>
      <ns0:r>
        <ns0:t xml:space="preserve"> </ns0:t>
      </ns0:r>
      <ns0:r>
        <ns0:t xml:space="preserve">coefficients are nuisance adjustments rather than thesis estimands. Sections</ns0:t>
      </ns0:r>
      <ns0:r>
        <ns0:t xml:space="preserve"> </ns0:t>
      </ns0:r>
      <ns0:r>
        <ns0:t xml:space="preserve">3.5.1-3.5.3 define the models and variables; Tables 4-5 and Appendix Tables</ns0:t>
      </ns0:r>
      <ns0:r>
        <ns0:t xml:space="preserve"> </ns0:t>
      </ns0:r>
      <ns0:r>
        <ns0:t xml:space="preserve">B1-B2 report the estimates needed to evaluate the three principal research</ns0:t>
      </ns0:r>
      <ns0:r>
        <ns0:t xml:space="preserve"> </ns0:t>
      </ns0:r>
      <ns0:r>
        <ns0:t xml:space="preserve">questions within this document.</ns0:t>
      </ns0:r>
    </ns0:p>
    <ns0:bookmarkEnd ns0:id="65"/>
    <ns0:bookmarkEnd ns0:id="66"/>
    <ns0:sectPr ns0:rsidR="00234B4F" ns0:rsidRPr="006A4317" ns0:rsidSect="00034616">
      <ns0:pgSz ns0:h="15840" ns0:w="12240"/>
      <ns0:pgMar ns0:bottom="1440" ns0:footer="720" ns0:gutter="0" ns0:header="720" ns0:left="1800" ns0:right="1800" ns0:top="144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30"/>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20"/>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a"/>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a0"/>
      <w:lvlText w:val=""/>
      <w:lvlJc w:val="left"/>
      <w:pPr>
        <w:tabs>
          <w:tab w:pos="360" w:val="num"/>
        </w:tabs>
        <w:ind w:hanging="360" w:left="360"/>
      </w:pPr>
      <w:rPr>
        <w:rFonts w:ascii="Symbol" w:hAnsi="Symbol" w:hint="default"/>
      </w:rPr>
    </w:lvl>
  </w:abstractNum>
  <w:abstractNum w15:restartNumberingAfterBreak="0" w:abstractNumId="9">
    <w:nsid w:val="0C500B90"/>
    <w:multiLevelType w:val="hybridMultilevel"/>
    <w:tmpl w:val="85DA9EAC"/>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0">
    <w:nsid w:val="38431F4C"/>
    <w:multiLevelType w:val="hybridMultilevel"/>
    <w:tmpl w:val="AD0E5E3A"/>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1">
    <w:nsid w:val="38817C3B"/>
    <w:multiLevelType w:val="hybridMultilevel"/>
    <w:tmpl w:val="7DBAA692"/>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2">
    <w:nsid w:val="3FA9696A"/>
    <w:multiLevelType w:val="hybridMultilevel"/>
    <w:tmpl w:val="A2A4F45A"/>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3">
    <w:nsid w:val="684F7849"/>
    <w:multiLevelType w:val="hybridMultilevel"/>
    <w:tmpl w:val="B5E22E64"/>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15:restartNumberingAfterBreak="0" w:abstractNumId="14">
    <w:nsid w:val="7CC971BF"/>
    <w:multiLevelType w:val="hybridMultilevel"/>
    <w:tmpl w:val="0396DB7C"/>
    <w:lvl w:ilvl="0" w:tplc="CE729194">
      <w:start w:val="1"/>
      <w:numFmt w:val="bullet"/>
      <w:lvlText w:val=""/>
      <w:lvlJc w:val="left"/>
      <w:pPr>
        <w:ind w:hanging="440" w:left="440"/>
      </w:pPr>
      <w:rPr>
        <w:rFonts w:ascii="Wingdings" w:hAnsi="Wingdings" w:hint="default"/>
        <w:sz w:val="11"/>
        <w:szCs w:val="11"/>
      </w:rPr>
    </w:lvl>
    <w:lvl w:ilvl="1" w:tentative="1" w:tplc="04090003">
      <w:start w:val="1"/>
      <w:numFmt w:val="bullet"/>
      <w:lvlText w:val=""/>
      <w:lvlJc w:val="left"/>
      <w:pPr>
        <w:ind w:hanging="440" w:left="880"/>
      </w:pPr>
      <w:rPr>
        <w:rFonts w:ascii="Wingdings" w:hAnsi="Wingdings" w:hint="default"/>
      </w:rPr>
    </w:lvl>
    <w:lvl w:ilvl="2" w:tentative="1" w:tplc="04090005">
      <w:start w:val="1"/>
      <w:numFmt w:val="bullet"/>
      <w:lvlText w:val=""/>
      <w:lvlJc w:val="left"/>
      <w:pPr>
        <w:ind w:hanging="440" w:left="1320"/>
      </w:pPr>
      <w:rPr>
        <w:rFonts w:ascii="Wingdings" w:hAnsi="Wingdings" w:hint="default"/>
      </w:rPr>
    </w:lvl>
    <w:lvl w:ilvl="3" w:tentative="1" w:tplc="04090001">
      <w:start w:val="1"/>
      <w:numFmt w:val="bullet"/>
      <w:lvlText w:val=""/>
      <w:lvlJc w:val="left"/>
      <w:pPr>
        <w:ind w:hanging="440" w:left="1760"/>
      </w:pPr>
      <w:rPr>
        <w:rFonts w:ascii="Wingdings" w:hAnsi="Wingdings" w:hint="default"/>
      </w:rPr>
    </w:lvl>
    <w:lvl w:ilvl="4" w:tentative="1" w:tplc="04090003">
      <w:start w:val="1"/>
      <w:numFmt w:val="bullet"/>
      <w:lvlText w:val=""/>
      <w:lvlJc w:val="left"/>
      <w:pPr>
        <w:ind w:hanging="440" w:left="2200"/>
      </w:pPr>
      <w:rPr>
        <w:rFonts w:ascii="Wingdings" w:hAnsi="Wingdings" w:hint="default"/>
      </w:rPr>
    </w:lvl>
    <w:lvl w:ilvl="5" w:tentative="1" w:tplc="04090005">
      <w:start w:val="1"/>
      <w:numFmt w:val="bullet"/>
      <w:lvlText w:val=""/>
      <w:lvlJc w:val="left"/>
      <w:pPr>
        <w:ind w:hanging="440" w:left="2640"/>
      </w:pPr>
      <w:rPr>
        <w:rFonts w:ascii="Wingdings" w:hAnsi="Wingdings" w:hint="default"/>
      </w:rPr>
    </w:lvl>
    <w:lvl w:ilvl="6" w:tentative="1" w:tplc="04090001">
      <w:start w:val="1"/>
      <w:numFmt w:val="bullet"/>
      <w:lvlText w:val=""/>
      <w:lvlJc w:val="left"/>
      <w:pPr>
        <w:ind w:hanging="440" w:left="3080"/>
      </w:pPr>
      <w:rPr>
        <w:rFonts w:ascii="Wingdings" w:hAnsi="Wingdings" w:hint="default"/>
      </w:rPr>
    </w:lvl>
    <w:lvl w:ilvl="7" w:tentative="1" w:tplc="04090003">
      <w:start w:val="1"/>
      <w:numFmt w:val="bullet"/>
      <w:lvlText w:val=""/>
      <w:lvlJc w:val="left"/>
      <w:pPr>
        <w:ind w:hanging="440" w:left="3520"/>
      </w:pPr>
      <w:rPr>
        <w:rFonts w:ascii="Wingdings" w:hAnsi="Wingdings" w:hint="default"/>
      </w:rPr>
    </w:lvl>
    <w:lvl w:ilvl="8" w:tentative="1" w:tplc="04090005">
      <w:start w:val="1"/>
      <w:numFmt w:val="bullet"/>
      <w:lvlText w:val=""/>
      <w:lvlJc w:val="left"/>
      <w:pPr>
        <w:ind w:hanging="440" w:left="39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39249374" w:numId="1">
    <w:abstractNumId w:val="8"/>
  </w:num>
  <w:num w16cid:durableId="849761186" w:numId="2">
    <w:abstractNumId w:val="6"/>
  </w:num>
  <w:num w16cid:durableId="970670457" w:numId="3">
    <w:abstractNumId w:val="5"/>
  </w:num>
  <w:num w16cid:durableId="2112897231" w:numId="4">
    <w:abstractNumId w:val="4"/>
  </w:num>
  <w:num w16cid:durableId="1954903310" w:numId="5">
    <w:abstractNumId w:val="7"/>
  </w:num>
  <w:num w16cid:durableId="1009020447" w:numId="6">
    <w:abstractNumId w:val="3"/>
  </w:num>
  <w:num w16cid:durableId="986936553" w:numId="7">
    <w:abstractNumId w:val="2"/>
  </w:num>
  <w:num w16cid:durableId="1773430240" w:numId="8">
    <w:abstractNumId w:val="1"/>
  </w:num>
  <w:num w16cid:durableId="1673101051" w:numId="9">
    <w:abstractNumId w:val="0"/>
  </w:num>
  <w:num w16cid:durableId="54814160" w:numId="10">
    <w:abstractNumId w:val="11"/>
  </w:num>
  <w:num w16cid:durableId="725227859" w:numId="11">
    <w:abstractNumId w:val="12"/>
  </w:num>
  <w:num w16cid:durableId="1928003895" w:numId="12">
    <w:abstractNumId w:val="10"/>
  </w:num>
  <w:num w16cid:durableId="301351957" w:numId="13">
    <w:abstractNumId w:val="9"/>
  </w:num>
  <w:num w16cid:durableId="484132477" w:numId="14">
    <w:abstractNumId w:val="14"/>
  </w:num>
  <w:num w16cid:durableId="831067853" w:numId="15">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75A"/>
    <w:rsid w:val="0015074B"/>
    <w:rsid w:val="00203BFA"/>
    <w:rsid w:val="00234B4F"/>
    <w:rsid w:val="0029639D"/>
    <w:rsid w:val="00326F90"/>
    <w:rsid w:val="00487553"/>
    <w:rsid w:val="006A4317"/>
    <w:rsid w:val="007A5048"/>
    <w:rsid w:val="00AA1D8D"/>
    <w:rsid w:val="00B47730"/>
    <w:rsid w:val="00BB5530"/>
    <w:rsid w:val="00CB0664"/>
    <w:rsid w:val="00F21A13"/>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FC693F"/>
  </w:style>
  <w:style w:styleId="1" w:type="paragraph">
    <w:name w:val="heading 1"/>
    <w:basedOn w:val="a1"/>
    <w:next w:val="a1"/>
    <w:link w:val="10"/>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21" w:type="paragraph">
    <w:name w:val="heading 2"/>
    <w:basedOn w:val="a1"/>
    <w:next w:val="a1"/>
    <w:link w:val="22"/>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31" w:type="paragraph">
    <w:name w:val="heading 3"/>
    <w:basedOn w:val="a1"/>
    <w:next w:val="a1"/>
    <w:link w:val="32"/>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1"/>
    <w:next w:val="a1"/>
    <w:link w:val="40"/>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5" w:type="paragraph">
    <w:name w:val="heading 5"/>
    <w:basedOn w:val="a1"/>
    <w:next w:val="a1"/>
    <w:link w:val="50"/>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6" w:type="paragraph">
    <w:name w:val="heading 6"/>
    <w:basedOn w:val="a1"/>
    <w:next w:val="a1"/>
    <w:link w:val="60"/>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7" w:type="paragraph">
    <w:name w:val="heading 7"/>
    <w:basedOn w:val="a1"/>
    <w:next w:val="a1"/>
    <w:link w:val="70"/>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header"/>
    <w:basedOn w:val="a1"/>
    <w:link w:val="a6"/>
    <w:uiPriority w:val="99"/>
    <w:unhideWhenUsed/>
    <w:rsid w:val="00E618BF"/>
    <w:pPr>
      <w:tabs>
        <w:tab w:pos="4680" w:val="center"/>
        <w:tab w:pos="9360" w:val="right"/>
      </w:tabs>
      <w:spacing w:after="0" w:line="240" w:lineRule="auto"/>
    </w:pPr>
  </w:style>
  <w:style w:customStyle="1" w:styleId="a6" w:type="character">
    <w:name w:val="页眉 字符"/>
    <w:basedOn w:val="a2"/>
    <w:link w:val="a5"/>
    <w:uiPriority w:val="99"/>
    <w:rsid w:val="00E618BF"/>
  </w:style>
  <w:style w:styleId="a7" w:type="paragraph">
    <w:name w:val="footer"/>
    <w:basedOn w:val="a1"/>
    <w:link w:val="a8"/>
    <w:uiPriority w:val="99"/>
    <w:unhideWhenUsed/>
    <w:rsid w:val="00E618BF"/>
    <w:pPr>
      <w:tabs>
        <w:tab w:pos="4680" w:val="center"/>
        <w:tab w:pos="9360" w:val="right"/>
      </w:tabs>
      <w:spacing w:after="0" w:line="240" w:lineRule="auto"/>
    </w:pPr>
  </w:style>
  <w:style w:customStyle="1" w:styleId="a8" w:type="character">
    <w:name w:val="页脚 字符"/>
    <w:basedOn w:val="a2"/>
    <w:link w:val="a7"/>
    <w:uiPriority w:val="99"/>
    <w:rsid w:val="00E618BF"/>
  </w:style>
  <w:style w:styleId="a9" w:type="paragraph">
    <w:name w:val="No Spacing"/>
    <w:uiPriority w:val="1"/>
    <w:qFormat/>
    <w:rsid w:val="00FC693F"/>
    <w:pPr>
      <w:spacing w:after="0" w:line="240" w:lineRule="auto"/>
    </w:pPr>
  </w:style>
  <w:style w:customStyle="1" w:styleId="10" w:type="character">
    <w:name w:val="标题 1 字符"/>
    <w:basedOn w:val="a2"/>
    <w:link w:val="1"/>
    <w:uiPriority w:val="9"/>
    <w:rsid w:val="00FC693F"/>
    <w:rPr>
      <w:rFonts w:asciiTheme="majorHAnsi" w:cstheme="majorBidi" w:eastAsiaTheme="majorEastAsia" w:hAnsiTheme="majorHAnsi"/>
      <w:b/>
      <w:bCs/>
      <w:color w:themeColor="accent1" w:themeShade="BF" w:val="365F91"/>
      <w:sz w:val="28"/>
      <w:szCs w:val="28"/>
    </w:rPr>
  </w:style>
  <w:style w:customStyle="1" w:styleId="22" w:type="character">
    <w:name w:val="标题 2 字符"/>
    <w:basedOn w:val="a2"/>
    <w:link w:val="21"/>
    <w:uiPriority w:val="9"/>
    <w:rsid w:val="00FC693F"/>
    <w:rPr>
      <w:rFonts w:asciiTheme="majorHAnsi" w:cstheme="majorBidi" w:eastAsiaTheme="majorEastAsia" w:hAnsiTheme="majorHAnsi"/>
      <w:b/>
      <w:bCs/>
      <w:color w:themeColor="accent1" w:val="4F81BD"/>
      <w:sz w:val="26"/>
      <w:szCs w:val="26"/>
    </w:rPr>
  </w:style>
  <w:style w:customStyle="1" w:styleId="32" w:type="character">
    <w:name w:val="标题 3 字符"/>
    <w:basedOn w:val="a2"/>
    <w:link w:val="31"/>
    <w:uiPriority w:val="9"/>
    <w:rsid w:val="00FC693F"/>
    <w:rPr>
      <w:rFonts w:asciiTheme="majorHAnsi" w:cstheme="majorBidi" w:eastAsiaTheme="majorEastAsia" w:hAnsiTheme="majorHAnsi"/>
      <w:b/>
      <w:bCs/>
      <w:color w:themeColor="accent1" w:val="4F81BD"/>
    </w:rPr>
  </w:style>
  <w:style w:styleId="aa" w:type="paragraph">
    <w:name w:val="Title"/>
    <w:basedOn w:val="a1"/>
    <w:next w:val="a1"/>
    <w:link w:val="ab"/>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ab" w:type="character">
    <w:name w:val="标题 字符"/>
    <w:basedOn w:val="a2"/>
    <w:link w:val="aa"/>
    <w:uiPriority w:val="10"/>
    <w:rsid w:val="00FC693F"/>
    <w:rPr>
      <w:rFonts w:asciiTheme="majorHAnsi" w:cstheme="majorBidi" w:eastAsiaTheme="majorEastAsia" w:hAnsiTheme="majorHAnsi"/>
      <w:color w:themeColor="text2" w:themeShade="BF" w:val="17365D"/>
      <w:spacing w:val="5"/>
      <w:kern w:val="28"/>
      <w:sz w:val="52"/>
      <w:szCs w:val="52"/>
    </w:rPr>
  </w:style>
  <w:style w:styleId="ac" w:type="paragraph">
    <w:name w:val="Subtitle"/>
    <w:basedOn w:val="a1"/>
    <w:next w:val="a1"/>
    <w:link w:val="ad"/>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ad" w:type="character">
    <w:name w:val="副标题 字符"/>
    <w:basedOn w:val="a2"/>
    <w:link w:val="ac"/>
    <w:uiPriority w:val="11"/>
    <w:rsid w:val="00FC693F"/>
    <w:rPr>
      <w:rFonts w:asciiTheme="majorHAnsi" w:cstheme="majorBidi" w:eastAsiaTheme="majorEastAsia" w:hAnsiTheme="majorHAnsi"/>
      <w:i/>
      <w:iCs/>
      <w:color w:themeColor="accent1" w:val="4F81BD"/>
      <w:spacing w:val="15"/>
      <w:sz w:val="24"/>
      <w:szCs w:val="24"/>
    </w:rPr>
  </w:style>
  <w:style w:styleId="ae" w:type="paragraph">
    <w:name w:val="List Paragraph"/>
    <w:basedOn w:val="a1"/>
    <w:uiPriority w:val="34"/>
    <w:qFormat/>
    <w:rsid w:val="00FC693F"/>
    <w:pPr>
      <w:ind w:left="720"/>
      <w:contextualSpacing/>
    </w:pPr>
  </w:style>
  <w:style w:styleId="af" w:type="paragraph">
    <w:name w:val="Body Text"/>
    <w:basedOn w:val="a1"/>
    <w:link w:val="af0"/>
    <w:uiPriority w:val="99"/>
    <w:unhideWhenUsed/>
    <w:rsid w:val="00AA1D8D"/>
    <w:pPr>
      <w:spacing w:after="120"/>
    </w:pPr>
  </w:style>
  <w:style w:customStyle="1" w:styleId="af0" w:type="character">
    <w:name w:val="正文文本 字符"/>
    <w:basedOn w:val="a2"/>
    <w:link w:val="af"/>
    <w:uiPriority w:val="99"/>
    <w:rsid w:val="00AA1D8D"/>
  </w:style>
  <w:style w:styleId="23" w:type="paragraph">
    <w:name w:val="Body Text 2"/>
    <w:basedOn w:val="a1"/>
    <w:link w:val="24"/>
    <w:uiPriority w:val="99"/>
    <w:unhideWhenUsed/>
    <w:rsid w:val="00AA1D8D"/>
    <w:pPr>
      <w:spacing w:after="120" w:line="480" w:lineRule="auto"/>
    </w:pPr>
  </w:style>
  <w:style w:customStyle="1" w:styleId="24" w:type="character">
    <w:name w:val="正文文本 2 字符"/>
    <w:basedOn w:val="a2"/>
    <w:link w:val="23"/>
    <w:uiPriority w:val="99"/>
    <w:rsid w:val="00AA1D8D"/>
  </w:style>
  <w:style w:styleId="33" w:type="paragraph">
    <w:name w:val="Body Text 3"/>
    <w:basedOn w:val="a1"/>
    <w:link w:val="34"/>
    <w:uiPriority w:val="99"/>
    <w:unhideWhenUsed/>
    <w:rsid w:val="00AA1D8D"/>
    <w:pPr>
      <w:spacing w:after="120"/>
    </w:pPr>
    <w:rPr>
      <w:sz w:val="16"/>
      <w:szCs w:val="16"/>
    </w:rPr>
  </w:style>
  <w:style w:customStyle="1" w:styleId="34" w:type="character">
    <w:name w:val="正文文本 3 字符"/>
    <w:basedOn w:val="a2"/>
    <w:link w:val="33"/>
    <w:uiPriority w:val="99"/>
    <w:rsid w:val="00AA1D8D"/>
    <w:rPr>
      <w:sz w:val="16"/>
      <w:szCs w:val="16"/>
    </w:rPr>
  </w:style>
  <w:style w:styleId="af1" w:type="paragraph">
    <w:name w:val="List"/>
    <w:basedOn w:val="a1"/>
    <w:uiPriority w:val="99"/>
    <w:unhideWhenUsed/>
    <w:rsid w:val="00AA1D8D"/>
    <w:pPr>
      <w:ind w:hanging="360" w:left="360"/>
      <w:contextualSpacing/>
    </w:pPr>
  </w:style>
  <w:style w:styleId="25" w:type="paragraph">
    <w:name w:val="List 2"/>
    <w:basedOn w:val="a1"/>
    <w:uiPriority w:val="99"/>
    <w:unhideWhenUsed/>
    <w:rsid w:val="00326F90"/>
    <w:pPr>
      <w:ind w:hanging="360" w:left="720"/>
      <w:contextualSpacing/>
    </w:pPr>
  </w:style>
  <w:style w:styleId="35" w:type="paragraph">
    <w:name w:val="List 3"/>
    <w:basedOn w:val="a1"/>
    <w:uiPriority w:val="99"/>
    <w:unhideWhenUsed/>
    <w:rsid w:val="00326F90"/>
    <w:pPr>
      <w:ind w:hanging="360" w:left="1080"/>
      <w:contextualSpacing/>
    </w:pPr>
  </w:style>
  <w:style w:styleId="a0" w:type="paragraph">
    <w:name w:val="List Bullet"/>
    <w:basedOn w:val="a1"/>
    <w:uiPriority w:val="99"/>
    <w:unhideWhenUsed/>
    <w:rsid w:val="00326F90"/>
    <w:pPr>
      <w:numPr>
        <w:numId w:val="1"/>
      </w:numPr>
      <w:contextualSpacing/>
    </w:pPr>
  </w:style>
  <w:style w:styleId="20" w:type="paragraph">
    <w:name w:val="List Bullet 2"/>
    <w:basedOn w:val="a1"/>
    <w:uiPriority w:val="99"/>
    <w:unhideWhenUsed/>
    <w:rsid w:val="00326F90"/>
    <w:pPr>
      <w:numPr>
        <w:numId w:val="2"/>
      </w:numPr>
      <w:contextualSpacing/>
    </w:pPr>
  </w:style>
  <w:style w:styleId="30" w:type="paragraph">
    <w:name w:val="List Bullet 3"/>
    <w:basedOn w:val="a1"/>
    <w:uiPriority w:val="99"/>
    <w:unhideWhenUsed/>
    <w:rsid w:val="00326F90"/>
    <w:pPr>
      <w:numPr>
        <w:numId w:val="3"/>
      </w:numPr>
      <w:contextualSpacing/>
    </w:pPr>
  </w:style>
  <w:style w:styleId="a" w:type="paragraph">
    <w:name w:val="List Number"/>
    <w:basedOn w:val="a1"/>
    <w:uiPriority w:val="99"/>
    <w:unhideWhenUsed/>
    <w:rsid w:val="00326F90"/>
    <w:pPr>
      <w:numPr>
        <w:numId w:val="5"/>
      </w:numPr>
      <w:contextualSpacing/>
    </w:pPr>
  </w:style>
  <w:style w:styleId="2" w:type="paragraph">
    <w:name w:val="List Number 2"/>
    <w:basedOn w:val="a1"/>
    <w:uiPriority w:val="99"/>
    <w:unhideWhenUsed/>
    <w:rsid w:val="0029639D"/>
    <w:pPr>
      <w:numPr>
        <w:numId w:val="6"/>
      </w:numPr>
      <w:contextualSpacing/>
    </w:pPr>
  </w:style>
  <w:style w:styleId="3" w:type="paragraph">
    <w:name w:val="List Number 3"/>
    <w:basedOn w:val="a1"/>
    <w:uiPriority w:val="99"/>
    <w:unhideWhenUsed/>
    <w:rsid w:val="0029639D"/>
    <w:pPr>
      <w:numPr>
        <w:numId w:val="7"/>
      </w:numPr>
      <w:contextualSpacing/>
    </w:pPr>
  </w:style>
  <w:style w:styleId="af2" w:type="paragraph">
    <w:name w:val="List Continue"/>
    <w:basedOn w:val="a1"/>
    <w:uiPriority w:val="99"/>
    <w:unhideWhenUsed/>
    <w:rsid w:val="0029639D"/>
    <w:pPr>
      <w:spacing w:after="120"/>
      <w:ind w:left="360"/>
      <w:contextualSpacing/>
    </w:pPr>
  </w:style>
  <w:style w:styleId="26" w:type="paragraph">
    <w:name w:val="List Continue 2"/>
    <w:basedOn w:val="a1"/>
    <w:uiPriority w:val="99"/>
    <w:unhideWhenUsed/>
    <w:rsid w:val="0029639D"/>
    <w:pPr>
      <w:spacing w:after="120"/>
      <w:ind w:left="720"/>
      <w:contextualSpacing/>
    </w:pPr>
  </w:style>
  <w:style w:styleId="36" w:type="paragraph">
    <w:name w:val="List Continue 3"/>
    <w:basedOn w:val="a1"/>
    <w:uiPriority w:val="99"/>
    <w:unhideWhenUsed/>
    <w:rsid w:val="0029639D"/>
    <w:pPr>
      <w:spacing w:after="120"/>
      <w:ind w:left="1080"/>
      <w:contextualSpacing/>
    </w:pPr>
  </w:style>
  <w:style w:styleId="af3" w:type="paragraph">
    <w:name w:val="macro"/>
    <w:link w:val="af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af4" w:type="character">
    <w:name w:val="宏文本 字符"/>
    <w:basedOn w:val="a2"/>
    <w:link w:val="af3"/>
    <w:uiPriority w:val="99"/>
    <w:rsid w:val="0029639D"/>
    <w:rPr>
      <w:rFonts w:ascii="Courier" w:hAnsi="Courier"/>
      <w:sz w:val="20"/>
      <w:szCs w:val="20"/>
    </w:rPr>
  </w:style>
  <w:style w:styleId="af5" w:type="paragraph">
    <w:name w:val="Quote"/>
    <w:basedOn w:val="a1"/>
    <w:next w:val="a1"/>
    <w:link w:val="af6"/>
    <w:uiPriority w:val="29"/>
    <w:qFormat/>
    <w:rsid w:val="00FC693F"/>
    <w:rPr>
      <w:i/>
      <w:iCs/>
      <w:color w:themeColor="text1" w:val="000000"/>
    </w:rPr>
  </w:style>
  <w:style w:customStyle="1" w:styleId="af6" w:type="character">
    <w:name w:val="引用 字符"/>
    <w:basedOn w:val="a2"/>
    <w:link w:val="af5"/>
    <w:uiPriority w:val="29"/>
    <w:rsid w:val="00FC693F"/>
    <w:rPr>
      <w:i/>
      <w:iCs/>
      <w:color w:themeColor="text1" w:val="000000"/>
    </w:rPr>
  </w:style>
  <w:style w:customStyle="1" w:styleId="40" w:type="character">
    <w:name w:val="标题 4 字符"/>
    <w:basedOn w:val="a2"/>
    <w:link w:val="4"/>
    <w:uiPriority w:val="9"/>
    <w:semiHidden/>
    <w:rsid w:val="00FC693F"/>
    <w:rPr>
      <w:rFonts w:asciiTheme="majorHAnsi" w:cstheme="majorBidi" w:eastAsiaTheme="majorEastAsia" w:hAnsiTheme="majorHAnsi"/>
      <w:b/>
      <w:bCs/>
      <w:i/>
      <w:iCs/>
      <w:color w:themeColor="accent1" w:val="4F81BD"/>
    </w:rPr>
  </w:style>
  <w:style w:customStyle="1" w:styleId="50" w:type="character">
    <w:name w:val="标题 5 字符"/>
    <w:basedOn w:val="a2"/>
    <w:link w:val="5"/>
    <w:uiPriority w:val="9"/>
    <w:semiHidden/>
    <w:rsid w:val="00FC693F"/>
    <w:rPr>
      <w:rFonts w:asciiTheme="majorHAnsi" w:cstheme="majorBidi" w:eastAsiaTheme="majorEastAsia" w:hAnsiTheme="majorHAnsi"/>
      <w:color w:themeColor="accent1" w:themeShade="7F" w:val="243F60"/>
    </w:rPr>
  </w:style>
  <w:style w:customStyle="1" w:styleId="60" w:type="character">
    <w:name w:val="标题 6 字符"/>
    <w:basedOn w:val="a2"/>
    <w:link w:val="6"/>
    <w:uiPriority w:val="9"/>
    <w:semiHidden/>
    <w:rsid w:val="00FC693F"/>
    <w:rPr>
      <w:rFonts w:asciiTheme="majorHAnsi" w:cstheme="majorBidi" w:eastAsiaTheme="majorEastAsia" w:hAnsiTheme="majorHAnsi"/>
      <w:i/>
      <w:iCs/>
      <w:color w:themeColor="accent1" w:themeShade="7F" w:val="243F60"/>
    </w:rPr>
  </w:style>
  <w:style w:customStyle="1" w:styleId="70" w:type="character">
    <w:name w:val="标题 7 字符"/>
    <w:basedOn w:val="a2"/>
    <w:link w:val="7"/>
    <w:uiPriority w:val="9"/>
    <w:semiHidden/>
    <w:rsid w:val="00FC693F"/>
    <w:rPr>
      <w:rFonts w:asciiTheme="majorHAnsi" w:cstheme="majorBidi" w:eastAsiaTheme="majorEastAsia" w:hAnsiTheme="majorHAnsi"/>
      <w:i/>
      <w:iCs/>
      <w:color w:themeColor="text1" w:themeTint="BF" w:val="404040"/>
    </w:rPr>
  </w:style>
  <w:style w:customStyle="1" w:styleId="80" w:type="character">
    <w:name w:val="标题 8 字符"/>
    <w:basedOn w:val="a2"/>
    <w:link w:val="8"/>
    <w:uiPriority w:val="9"/>
    <w:semiHidden/>
    <w:rsid w:val="00FC693F"/>
    <w:rPr>
      <w:rFonts w:asciiTheme="majorHAnsi" w:cstheme="majorBidi" w:eastAsiaTheme="majorEastAsia" w:hAnsiTheme="majorHAnsi"/>
      <w:color w:themeColor="accent1" w:val="4F81BD"/>
      <w:sz w:val="20"/>
      <w:szCs w:val="20"/>
    </w:rPr>
  </w:style>
  <w:style w:customStyle="1" w:styleId="90" w:type="character">
    <w:name w:val="标题 9 字符"/>
    <w:basedOn w:val="a2"/>
    <w:link w:val="9"/>
    <w:uiPriority w:val="9"/>
    <w:semiHidden/>
    <w:rsid w:val="00FC693F"/>
    <w:rPr>
      <w:rFonts w:asciiTheme="majorHAnsi" w:cstheme="majorBidi" w:eastAsiaTheme="majorEastAsia" w:hAnsiTheme="majorHAnsi"/>
      <w:i/>
      <w:iCs/>
      <w:color w:themeColor="text1" w:themeTint="BF" w:val="404040"/>
      <w:sz w:val="20"/>
      <w:szCs w:val="20"/>
    </w:rPr>
  </w:style>
  <w:style w:styleId="af7" w:type="paragraph">
    <w:name w:val="caption"/>
    <w:basedOn w:val="a1"/>
    <w:next w:val="a1"/>
    <w:uiPriority w:val="35"/>
    <w:semiHidden/>
    <w:unhideWhenUsed/>
    <w:qFormat/>
    <w:rsid w:val="00FC693F"/>
    <w:pPr>
      <w:spacing w:line="240" w:lineRule="auto"/>
    </w:pPr>
    <w:rPr>
      <w:b/>
      <w:bCs/>
      <w:color w:themeColor="accent1" w:val="4F81BD"/>
      <w:sz w:val="18"/>
      <w:szCs w:val="18"/>
    </w:rPr>
  </w:style>
  <w:style w:styleId="af8" w:type="character">
    <w:name w:val="Strong"/>
    <w:basedOn w:val="a2"/>
    <w:uiPriority w:val="22"/>
    <w:qFormat/>
    <w:rsid w:val="00FC693F"/>
    <w:rPr>
      <w:b/>
      <w:bCs/>
    </w:rPr>
  </w:style>
  <w:style w:styleId="af9" w:type="character">
    <w:name w:val="Emphasis"/>
    <w:basedOn w:val="a2"/>
    <w:uiPriority w:val="20"/>
    <w:qFormat/>
    <w:rsid w:val="00FC693F"/>
    <w:rPr>
      <w:i/>
      <w:iCs/>
    </w:rPr>
  </w:style>
  <w:style w:styleId="afa" w:type="paragraph">
    <w:name w:val="Intense Quote"/>
    <w:basedOn w:val="a1"/>
    <w:next w:val="a1"/>
    <w:link w:val="afb"/>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afb" w:type="character">
    <w:name w:val="明显引用 字符"/>
    <w:basedOn w:val="a2"/>
    <w:link w:val="afa"/>
    <w:uiPriority w:val="30"/>
    <w:rsid w:val="00FC693F"/>
    <w:rPr>
      <w:b/>
      <w:bCs/>
      <w:i/>
      <w:iCs/>
      <w:color w:themeColor="accent1" w:val="4F81BD"/>
    </w:rPr>
  </w:style>
  <w:style w:styleId="afc" w:type="character">
    <w:name w:val="Subtle Emphasis"/>
    <w:basedOn w:val="a2"/>
    <w:uiPriority w:val="19"/>
    <w:qFormat/>
    <w:rsid w:val="00FC693F"/>
    <w:rPr>
      <w:i/>
      <w:iCs/>
      <w:color w:themeColor="text1" w:themeTint="7F" w:val="808080"/>
    </w:rPr>
  </w:style>
  <w:style w:styleId="afd" w:type="character">
    <w:name w:val="Intense Emphasis"/>
    <w:basedOn w:val="a2"/>
    <w:uiPriority w:val="21"/>
    <w:qFormat/>
    <w:rsid w:val="00FC693F"/>
    <w:rPr>
      <w:b/>
      <w:bCs/>
      <w:i/>
      <w:iCs/>
      <w:color w:themeColor="accent1" w:val="4F81BD"/>
    </w:rPr>
  </w:style>
  <w:style w:styleId="afe" w:type="character">
    <w:name w:val="Subtle Reference"/>
    <w:basedOn w:val="a2"/>
    <w:uiPriority w:val="31"/>
    <w:qFormat/>
    <w:rsid w:val="00FC693F"/>
    <w:rPr>
      <w:smallCaps/>
      <w:color w:themeColor="accent2" w:val="C0504D"/>
      <w:u w:val="single"/>
    </w:rPr>
  </w:style>
  <w:style w:styleId="aff" w:type="character">
    <w:name w:val="Intense Reference"/>
    <w:basedOn w:val="a2"/>
    <w:uiPriority w:val="32"/>
    <w:qFormat/>
    <w:rsid w:val="00FC693F"/>
    <w:rPr>
      <w:b/>
      <w:bCs/>
      <w:smallCaps/>
      <w:color w:themeColor="accent2" w:val="C0504D"/>
      <w:spacing w:val="5"/>
      <w:u w:val="single"/>
    </w:rPr>
  </w:style>
  <w:style w:styleId="aff0" w:type="character">
    <w:name w:val="Book Title"/>
    <w:basedOn w:val="a2"/>
    <w:uiPriority w:val="33"/>
    <w:qFormat/>
    <w:rsid w:val="00FC693F"/>
    <w:rPr>
      <w:b/>
      <w:bCs/>
      <w:smallCaps/>
      <w:spacing w:val="5"/>
    </w:rPr>
  </w:style>
  <w:style w:styleId="TOC" w:type="paragraph">
    <w:name w:val="TOC Heading"/>
    <w:basedOn w:val="1"/>
    <w:next w:val="a1"/>
    <w:uiPriority w:val="39"/>
    <w:unhideWhenUsed/>
    <w:qFormat/>
    <w:rsid w:val="00FC693F"/>
    <w:pPr>
      <w:outlineLvl w:val="9"/>
    </w:pPr>
  </w:style>
  <w:style w:styleId="aff1" w:type="table">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2" w:type="table">
    <w:name w:val="Light Shading"/>
    <w:basedOn w:val="a3"/>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f3" w:type="table">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f4" w:type="table">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11" w:type="table">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21" w:type="table">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1" w:type="table">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41" w:type="table">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51" w:type="table">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61" w:type="table">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11" w:type="table">
    <w:name w:val="Medium Shading 1"/>
    <w:basedOn w:val="a3"/>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3-1" w:type="table">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3-2" w:type="table">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3-3" w:type="table">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3-4" w:type="table">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3-5" w:type="table">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3-6" w:type="table">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aff5" w:type="table">
    <w:name w:val="Dark List"/>
    <w:basedOn w:val="a3"/>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f6" w:type="table">
    <w:name w:val="Colorful Shading"/>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f7" w:type="table">
    <w:name w:val="Colorful List"/>
    <w:basedOn w:val="a3"/>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f8" w:type="table">
    <w:name w:val="Colorful Grid"/>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TOC1" w:type="paragraph">
    <w:name w:val="toc 1"/>
    <w:basedOn w:val="a1"/>
    <w:next w:val="a1"/>
    <w:autoRedefine/>
    <w:uiPriority w:val="39"/>
    <w:unhideWhenUsed/>
    <w:rsid w:val="007A5048"/>
  </w:style>
  <w:style w:styleId="aff9" w:type="character">
    <w:name w:val="Hyperlink"/>
    <w:basedOn w:val="a2"/>
    <w:uiPriority w:val="99"/>
    <w:unhideWhenUsed/>
    <w:rsid w:val="007A5048"/>
    <w:rPr>
      <w:color w:themeColor="hyperlink" w:val="0000FF"/>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image" Id="rId10" Target="media/rId10.png" /><ns0:Relationship Type="http://schemas.openxmlformats.org/officeDocument/2006/relationships/image" Id="rId59" Target="media/rId59.png" /><ns0:Relationship Type="http://schemas.openxmlformats.org/officeDocument/2006/relationships/image" Id="rId25" Target="media/rId25.png" /><ns0:Relationship Type="http://schemas.openxmlformats.org/officeDocument/2006/relationships/image" Id="rId46" Target="media/rId46.png" /><ns0:Relationship Type="http://schemas.openxmlformats.org/officeDocument/2006/relationships/image" Id="rId42" Target="media/rId42.png"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375</Words>
  <Characters>2140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Margins of Electricity Recovery</dc:title>
  <dc:creator/>
  <cp:keywords/>
  <dcterms:created xsi:type="dcterms:W3CDTF">2026-07-19T15:23:28Z</dcterms:created>
  <dcterms:modified xsi:type="dcterms:W3CDTF">2026-07-19T15:23:28Z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July 2026</vt:lpwstr>
  </property>
  <property fmtid="{D5CDD505-2E9C-101B-9397-08002B2CF9AE}" pid="3" name="subtitle">
    <vt:lpwstr>Coverage, Reported Entry, and Generator Sizing in Japan’s Municipal Incinerator Fleet, FY2005-FY2024</vt:lpwstr>
  </property>
</Properties>
</file>