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1c4587"/>
          <w:sz w:val="28"/>
          <w:szCs w:val="28"/>
        </w:rPr>
      </w:pPr>
      <w:r w:rsidDel="00000000" w:rsidR="00000000" w:rsidRPr="00000000">
        <w:rPr>
          <w:b w:val="1"/>
          <w:color w:val="1c4587"/>
          <w:sz w:val="28"/>
          <w:szCs w:val="28"/>
          <w:rtl w:val="0"/>
        </w:rPr>
        <w:t xml:space="preserve">Πανεπιστήμιο Μακεδονίας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1c4587"/>
          <w:sz w:val="28"/>
          <w:szCs w:val="28"/>
        </w:rPr>
      </w:pPr>
      <w:r w:rsidDel="00000000" w:rsidR="00000000" w:rsidRPr="00000000">
        <w:rPr>
          <w:b w:val="1"/>
          <w:color w:val="1c4587"/>
          <w:sz w:val="28"/>
          <w:szCs w:val="28"/>
          <w:rtl w:val="0"/>
        </w:rPr>
        <w:t xml:space="preserve">Τμήμα Εφαρμοσμένης Πληροφορικής</w:t>
      </w:r>
    </w:p>
    <w:p w:rsidR="00000000" w:rsidDel="00000000" w:rsidP="00000000" w:rsidRDefault="00000000" w:rsidRPr="00000000" w14:paraId="0000000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Μάθημα: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Στρατηγική Επιχειρήσεων &amp; ΠΣ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Διδάσκων: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Φώτης Χ. Κίτσιος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5c0472"/>
          <w:sz w:val="34"/>
          <w:szCs w:val="34"/>
          <w:rtl w:val="0"/>
        </w:rPr>
        <w:t xml:space="preserve">Yahoo! Case study analysis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76763" cy="3428771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428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Μέλη Ομάδας:</w:t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Κρουστάλλης Δημήτρης, iis21029</w:t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Λιάκος Δημήτρης, iis21172</w:t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Νάσης Πρόδρομος - Ανάργυρος, iis21149</w:t>
      </w:r>
    </w:p>
    <w:p w:rsidR="00000000" w:rsidDel="00000000" w:rsidP="00000000" w:rsidRDefault="00000000" w:rsidRPr="00000000" w14:paraId="00000013">
      <w:pPr>
        <w:ind w:left="72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Πρασίνης Δημήτρης, iis21166</w:t>
      </w:r>
    </w:p>
    <w:p w:rsidR="00000000" w:rsidDel="00000000" w:rsidP="00000000" w:rsidRDefault="00000000" w:rsidRPr="00000000" w14:paraId="00000014">
      <w:pPr>
        <w:ind w:left="72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Φυτιλής Παναγιώτης, iis21052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Μακροπρόθεσμοι στόχοι της εταιρείας: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80049" cy="167965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0049" cy="1679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785938" cy="801002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6200" y="1446875"/>
                          <a:ext cx="2852604" cy="1264572"/>
                        </a:xfrm>
                        <a:prstGeom prst="cloud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σελ. 2, δεξιά στήλη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785938" cy="801002"/>
                <wp:effectExtent b="0" l="0" r="0" t="0"/>
                <wp:docPr id="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5938" cy="8010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Σχόλιο</w:t>
      </w:r>
      <w:r w:rsidDel="00000000" w:rsidR="00000000" w:rsidRPr="00000000">
        <w:rPr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i w:val="1"/>
          <w:sz w:val="24"/>
          <w:szCs w:val="24"/>
          <w:rtl w:val="0"/>
        </w:rPr>
        <w:t xml:space="preserve">Σε αυτούς αναφέρει και αναπτύσσει στη συνέχεια ποια είναι η κατεύθυνση που πρέπει να ακολουθηθεί και οι αλλαγές που πρέπει να γίνουν από την εταιρεία.</w:t>
      </w:r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Διαδικασίες, Εύρος και είδος των δραστηριοτήτων του οργανισμού: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81388" cy="1129654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129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66913" cy="882170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6200" y="1446875"/>
                          <a:ext cx="2852604" cy="1264572"/>
                        </a:xfrm>
                        <a:prstGeom prst="cloud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1η παράγραφος της         ενότητας “Αναγνώριση των προβλημάτων μας”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σελ. 1 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66913" cy="882170"/>
                <wp:effectExtent b="0" l="0" r="0" t="0"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913" cy="8821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05188" cy="67716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67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Σχόλιο: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i w:val="1"/>
          <w:sz w:val="24"/>
          <w:szCs w:val="24"/>
          <w:rtl w:val="0"/>
        </w:rPr>
        <w:t xml:space="preserve">Εδώ ο Garlinghouse, παρουσιάζει το τεράστιο εύρος των δραστηριοτήτων που εκτελεί η Yahoo, χωρίς κάποια συγκεκριμένη στρατηγική.</w:t>
      </w:r>
    </w:p>
    <w:p w:rsidR="00000000" w:rsidDel="00000000" w:rsidP="00000000" w:rsidRDefault="00000000" w:rsidRPr="00000000" w14:paraId="00000025">
      <w:pPr>
        <w:ind w:left="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Εξασφάλιση Ανταγωνιστικού πλεονεκτήματος</w:t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78094" cy="1669559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8094" cy="166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966913" cy="88217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6200" y="1446875"/>
                          <a:ext cx="2852604" cy="1264572"/>
                        </a:xfrm>
                        <a:prstGeom prst="cloud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1η παράγραφος της ενότητας “Επιλύοντας τα προβλήματά μας”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σελ. 2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966913" cy="882170"/>
                <wp:effectExtent b="0" l="0" r="0" t="0"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913" cy="8821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Σχόλιο: </w:t>
      </w:r>
      <w:r w:rsidDel="00000000" w:rsidR="00000000" w:rsidRPr="00000000">
        <w:rPr>
          <w:sz w:val="24"/>
          <w:szCs w:val="24"/>
          <w:rtl w:val="0"/>
        </w:rPr>
        <w:t xml:space="preserve"> Ο Garlinghouse εξηγεί ότι το βασικό πλεονέκτημα της Yahoo έναντι του ανταγωνισμού είναι το αφοσιωμένο κοινό χρηστών καθώς και το διαδεδομένο κύρος που έχει καταφέρει να αποκτήσει στο χώρο του διαδικτύου.</w:t>
      </w:r>
    </w:p>
    <w:p w:rsidR="00000000" w:rsidDel="00000000" w:rsidP="00000000" w:rsidRDefault="00000000" w:rsidRPr="00000000" w14:paraId="0000002B">
      <w:pPr>
        <w:ind w:left="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Χειρισμός των μεταβολών στο εξωτερικό περιβάλλον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6108" cy="1886192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6108" cy="1886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804988" cy="809546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6200" y="1446875"/>
                          <a:ext cx="2852604" cy="1264572"/>
                        </a:xfrm>
                        <a:prstGeom prst="cloud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σελ. 1, δεξιά στήλη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04988" cy="809546"/>
                <wp:effectExtent b="0" l="0" r="0" t="0"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4988" cy="80954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Σχόλιο: </w:t>
      </w:r>
      <w:r w:rsidDel="00000000" w:rsidR="00000000" w:rsidRPr="00000000">
        <w:rPr>
          <w:i w:val="1"/>
          <w:sz w:val="24"/>
          <w:szCs w:val="24"/>
          <w:rtl w:val="0"/>
        </w:rPr>
        <w:t xml:space="preserve">Παρουσιάζεται μία παρομοίωση με την οποία καταλαβαίνουμε ότι η στρατηγική της εταιρείας είναι να ασχολείται με πολλά και διαφορετικά στοιχεία χωρίς να επικεντρώνεται σε σημαντικά σημεία που συμβαδίζουν με το βασικό χαρακτήρα του οργανισμού.</w:t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Αξιοποίηση πόρων και ικανοτήτων (Εσωτερικό περιβάλλον)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8491" cy="273146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491" cy="2731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804988" cy="809546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6200" y="1446875"/>
                          <a:ext cx="2852604" cy="1264572"/>
                        </a:xfrm>
                        <a:prstGeom prst="cloud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σελ. 1, δεξιά στήλη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04988" cy="809546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4988" cy="80954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43313" cy="449953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4499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804988" cy="809546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6200" y="1446875"/>
                          <a:ext cx="2852604" cy="1264572"/>
                        </a:xfrm>
                        <a:prstGeom prst="cloud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σελ. 2, αριστερή στήλη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04988" cy="809546"/>
                <wp:effectExtent b="0" l="0" r="0" t="0"/>
                <wp:docPr id="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4988" cy="80954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00349" cy="267834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349" cy="2678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804988" cy="809546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6200" y="1446875"/>
                          <a:ext cx="2852604" cy="1264572"/>
                        </a:xfrm>
                        <a:prstGeom prst="cloud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σελ. 2, δεξιά στήλη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04988" cy="809546"/>
                <wp:effectExtent b="0" l="0" r="0" t="0"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4988" cy="80954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76688" cy="622764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622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Σχόλιο: </w:t>
      </w:r>
      <w:r w:rsidDel="00000000" w:rsidR="00000000" w:rsidRPr="00000000">
        <w:rPr>
          <w:i w:val="1"/>
          <w:sz w:val="24"/>
          <w:szCs w:val="24"/>
          <w:rtl w:val="0"/>
        </w:rPr>
        <w:t xml:space="preserve">Ο Garlinghouse εξηγεί ότι δεν αξιοποιούνται οι ικανότητες των εργαζομένων και προτείνει να καταλογιστούν ευθύνες για την τωρινή κατάσταση και να διανεμηθούν οι αρμοδιότητες υπεύθυνα.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Αξίες και προσδοκίες των βασικών μονάδων διακυβέρνησης συμφερόντων (ομάδες ενδιαφερομένων)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85519" cy="2527864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519" cy="2527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804988" cy="809546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6200" y="1446875"/>
                          <a:ext cx="2852604" cy="1264572"/>
                        </a:xfrm>
                        <a:prstGeom prst="cloud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σελ. 3, δεξιά στήλη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04988" cy="809546"/>
                <wp:effectExtent b="0" l="0" r="0" t="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4988" cy="80954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Σχόλιο: </w:t>
      </w:r>
      <w:r w:rsidDel="00000000" w:rsidR="00000000" w:rsidRPr="00000000">
        <w:rPr>
          <w:i w:val="1"/>
          <w:sz w:val="24"/>
          <w:szCs w:val="24"/>
          <w:rtl w:val="0"/>
        </w:rPr>
        <w:t xml:space="preserve">Κλείνοντας ο Garlinghouse, επισημαίνει τις προσδοκίες που πρέπει να ικανοποιήσει η εταιρεία με βάση τις ικανότητές της, καθώς και τις αξίες που πρέπει να διέπουν όλα τα μέλη της.</w:t>
      </w:r>
    </w:p>
    <w:p w:rsidR="00000000" w:rsidDel="00000000" w:rsidP="00000000" w:rsidRDefault="00000000" w:rsidRPr="00000000" w14:paraId="0000003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15.png"/><Relationship Id="rId24" Type="http://schemas.openxmlformats.org/officeDocument/2006/relationships/image" Target="media/image1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5.png"/><Relationship Id="rId8" Type="http://schemas.openxmlformats.org/officeDocument/2006/relationships/image" Target="media/image16.png"/><Relationship Id="rId11" Type="http://schemas.openxmlformats.org/officeDocument/2006/relationships/image" Target="media/image1.png"/><Relationship Id="rId10" Type="http://schemas.openxmlformats.org/officeDocument/2006/relationships/image" Target="media/image19.png"/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19" Type="http://schemas.openxmlformats.org/officeDocument/2006/relationships/image" Target="media/image17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