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BE5" w:rsidRPr="002A4BE5" w:rsidRDefault="002A4BE5" w:rsidP="002A4BE5">
      <w:pPr>
        <w:rPr>
          <w:b/>
          <w:bCs/>
        </w:rPr>
      </w:pPr>
      <w:r w:rsidRPr="002A4BE5">
        <w:rPr>
          <w:b/>
          <w:bCs/>
        </w:rPr>
        <w:t>Technical Architectural Report: Plan2Render AWS Deployment Stack</w:t>
      </w:r>
    </w:p>
    <w:p w:rsidR="002A4BE5" w:rsidRPr="002A4BE5" w:rsidRDefault="002A4BE5" w:rsidP="002A4BE5">
      <w:pPr>
        <w:rPr>
          <w:b/>
          <w:bCs/>
        </w:rPr>
      </w:pPr>
      <w:r w:rsidRPr="002A4BE5">
        <w:rPr>
          <w:b/>
          <w:bCs/>
        </w:rPr>
        <w:t>1. Introduction and Purpose of Report</w:t>
      </w:r>
    </w:p>
    <w:p w:rsidR="002A4BE5" w:rsidRPr="002A4BE5" w:rsidRDefault="002A4BE5" w:rsidP="002A4BE5">
      <w:r w:rsidRPr="002A4BE5">
        <w:t>This report delineates the architectural design and deployment strategy for the Plan2Render stack on Amazon Web Services (AWS). It serves as a technical blueprint for stakeholders and engineering teams to understand how the system transforms raw CAD data into interactive, high-fidelity 3D environments.</w:t>
      </w:r>
    </w:p>
    <w:p w:rsidR="002A4BE5" w:rsidRPr="002A4BE5" w:rsidRDefault="002A4BE5" w:rsidP="002A4BE5">
      <w:r w:rsidRPr="002A4BE5">
        <w:t>The objectives of this document are as follows:</w:t>
      </w:r>
    </w:p>
    <w:p w:rsidR="002A4BE5" w:rsidRPr="002A4BE5" w:rsidRDefault="002A4BE5" w:rsidP="002A4BE5">
      <w:pPr>
        <w:numPr>
          <w:ilvl w:val="0"/>
          <w:numId w:val="1"/>
        </w:numPr>
      </w:pPr>
      <w:r w:rsidRPr="002A4BE5">
        <w:rPr>
          <w:b/>
          <w:bCs/>
        </w:rPr>
        <w:t>Infrastructure Transparency:</w:t>
      </w:r>
      <w:r w:rsidRPr="002A4BE5">
        <w:t xml:space="preserve"> Define the managed services and containerized environments that facilitate the system’s high availability.</w:t>
      </w:r>
    </w:p>
    <w:p w:rsidR="002A4BE5" w:rsidRPr="002A4BE5" w:rsidRDefault="002A4BE5" w:rsidP="002A4BE5">
      <w:pPr>
        <w:numPr>
          <w:ilvl w:val="0"/>
          <w:numId w:val="1"/>
        </w:numPr>
      </w:pPr>
      <w:r w:rsidRPr="002A4BE5">
        <w:rPr>
          <w:b/>
          <w:bCs/>
        </w:rPr>
        <w:t>Pipeline Orchestration:</w:t>
      </w:r>
      <w:r w:rsidRPr="002A4BE5">
        <w:t xml:space="preserve"> Detail the end-to-end data flow from client-side ingress to the generation of 3D assets.</w:t>
      </w:r>
    </w:p>
    <w:p w:rsidR="002A4BE5" w:rsidRPr="002A4BE5" w:rsidRDefault="002A4BE5" w:rsidP="002A4BE5">
      <w:pPr>
        <w:numPr>
          <w:ilvl w:val="0"/>
          <w:numId w:val="1"/>
        </w:numPr>
      </w:pPr>
      <w:r w:rsidRPr="002A4BE5">
        <w:rPr>
          <w:b/>
          <w:bCs/>
        </w:rPr>
        <w:t>Resource Decoupling:</w:t>
      </w:r>
      <w:r w:rsidRPr="002A4BE5">
        <w:t xml:space="preserve"> Establish the technical rationale for the strict separation between compute-intensive processing and real-time editing workloads.</w:t>
      </w:r>
    </w:p>
    <w:p w:rsidR="002A4BE5" w:rsidRPr="002A4BE5" w:rsidRDefault="002A4BE5" w:rsidP="002A4BE5">
      <w:pPr>
        <w:rPr>
          <w:b/>
          <w:bCs/>
        </w:rPr>
      </w:pPr>
      <w:r w:rsidRPr="002A4BE5">
        <w:rPr>
          <w:b/>
          <w:bCs/>
        </w:rPr>
        <w:t>2. System Infrastructure and Stack Overview</w:t>
      </w:r>
    </w:p>
    <w:p w:rsidR="002A4BE5" w:rsidRPr="002A4BE5" w:rsidRDefault="002A4BE5" w:rsidP="002A4BE5">
      <w:r w:rsidRPr="002A4BE5">
        <w:t>The Plan2Render architecture utilizes a hybrid approach, combining edge-optimized frontend delivery with a robust, scalable AWS backend. This ensures the system maintains responsiveness while handling heavy algorithmic workloads.</w:t>
      </w:r>
    </w:p>
    <w:p w:rsidR="002A4BE5" w:rsidRPr="002A4BE5" w:rsidRDefault="002A4BE5" w:rsidP="002A4BE5">
      <w:pPr>
        <w:rPr>
          <w:b/>
          <w:bCs/>
        </w:rPr>
      </w:pPr>
      <w:r w:rsidRPr="002A4BE5">
        <w:rPr>
          <w:b/>
          <w:bCs/>
        </w:rPr>
        <w:t>Core Component Stack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809"/>
        <w:gridCol w:w="5772"/>
      </w:tblGrid>
      <w:tr w:rsidR="002A4BE5" w:rsidRPr="002A4BE5" w:rsidTr="002A4BE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Logical Component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Platform/Service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Functional Role</w:t>
            </w:r>
          </w:p>
        </w:tc>
      </w:tr>
      <w:tr w:rsidR="002A4BE5" w:rsidRPr="002A4BE5" w:rsidTr="002A4BE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proofErr w:type="spellStart"/>
            <w:r w:rsidRPr="002A4BE5">
              <w:t>Vercel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React-based UI; leverages Edge distribution and SSR for low-latency client delivery and 3D rendering.</w:t>
            </w:r>
          </w:p>
        </w:tc>
      </w:tr>
      <w:tr w:rsidR="002A4BE5" w:rsidRPr="002A4BE5" w:rsidTr="002A4BE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AWS (ECS/</w:t>
            </w:r>
            <w:proofErr w:type="spellStart"/>
            <w:r w:rsidRPr="002A4BE5">
              <w:t>Fargate</w:t>
            </w:r>
            <w:proofErr w:type="spellEnd"/>
            <w:r w:rsidRPr="002A4BE5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RESTful API layer responsible for request orchestration, authentication, and project state management.</w:t>
            </w:r>
          </w:p>
        </w:tc>
      </w:tr>
      <w:tr w:rsidR="002A4BE5" w:rsidRPr="002A4BE5" w:rsidTr="002A4BE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rPr>
                <w:b/>
                <w:bCs/>
              </w:rPr>
              <w:t>Worker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Docker on AWS (ECS)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Containerized Python Engine; executes the core intellectual property for CAD parsing and structural logic.</w:t>
            </w:r>
          </w:p>
        </w:tc>
      </w:tr>
      <w:tr w:rsidR="002A4BE5" w:rsidRPr="002A4BE5" w:rsidTr="002A4BE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AWS RDS (PostgreSQL)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Managed relational persistence layer for user profiles, project metadata, and structural schema.</w:t>
            </w:r>
          </w:p>
        </w:tc>
      </w:tr>
      <w:tr w:rsidR="002A4BE5" w:rsidRPr="002A4BE5" w:rsidTr="002A4BE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proofErr w:type="spellStart"/>
            <w:r w:rsidRPr="002A4BE5">
              <w:t>Redis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High-performance message broker used to decouple the API response from long-running asynchronous tasks.</w:t>
            </w:r>
          </w:p>
        </w:tc>
      </w:tr>
      <w:tr w:rsidR="002A4BE5" w:rsidRPr="002A4BE5" w:rsidTr="002A4BE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AWS S3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The "Single Source of Truth" (</w:t>
            </w:r>
            <w:proofErr w:type="spellStart"/>
            <w:r w:rsidRPr="002A4BE5">
              <w:t>SSoT</w:t>
            </w:r>
            <w:proofErr w:type="spellEnd"/>
            <w:r w:rsidRPr="002A4BE5">
              <w:t>) for all binary assets, including raw uploads and generated 3D models.</w:t>
            </w:r>
          </w:p>
        </w:tc>
      </w:tr>
    </w:tbl>
    <w:p w:rsidR="002A4BE5" w:rsidRPr="002A4BE5" w:rsidRDefault="002A4BE5" w:rsidP="002A4BE5">
      <w:r w:rsidRPr="002A4BE5">
        <w:t xml:space="preserve">By utilizing Amazon ECS (Elastic Container Service) with </w:t>
      </w:r>
      <w:proofErr w:type="spellStart"/>
      <w:r w:rsidRPr="002A4BE5">
        <w:t>Fargate</w:t>
      </w:r>
      <w:proofErr w:type="spellEnd"/>
      <w:r w:rsidRPr="002A4BE5">
        <w:t>, the infrastructure scales dynamically, provisioning compute resources only when required by the processing queue.</w:t>
      </w:r>
    </w:p>
    <w:p w:rsidR="002A4BE5" w:rsidRPr="002A4BE5" w:rsidRDefault="002A4BE5" w:rsidP="002A4BE5">
      <w:pPr>
        <w:rPr>
          <w:b/>
          <w:bCs/>
        </w:rPr>
      </w:pPr>
      <w:r w:rsidRPr="002A4BE5">
        <w:rPr>
          <w:b/>
          <w:bCs/>
        </w:rPr>
        <w:t>3. The End-to-End Processing Flow</w:t>
      </w:r>
    </w:p>
    <w:p w:rsidR="002A4BE5" w:rsidRPr="002A4BE5" w:rsidRDefault="002A4BE5" w:rsidP="002A4BE5">
      <w:r w:rsidRPr="002A4BE5">
        <w:lastRenderedPageBreak/>
        <w:t>The following sequence describes the technical lifecycle of a project, emphasizing how data is persisted and transformed across the stack.</w:t>
      </w:r>
    </w:p>
    <w:p w:rsidR="002A4BE5" w:rsidRPr="002A4BE5" w:rsidRDefault="002A4BE5" w:rsidP="002A4BE5">
      <w:pPr>
        <w:numPr>
          <w:ilvl w:val="0"/>
          <w:numId w:val="2"/>
        </w:numPr>
      </w:pPr>
      <w:r w:rsidRPr="002A4BE5">
        <w:rPr>
          <w:b/>
          <w:bCs/>
        </w:rPr>
        <w:t>Step 1: User Initiation</w:t>
      </w:r>
      <w:r w:rsidRPr="002A4BE5">
        <w:t xml:space="preserve"> The user initiates the workflow by uploading a CAD file via the React-based frontend. This ingress point handles the initial validation of the file format before transmission.</w:t>
      </w:r>
    </w:p>
    <w:p w:rsidR="002A4BE5" w:rsidRPr="002A4BE5" w:rsidRDefault="002A4BE5" w:rsidP="002A4BE5">
      <w:pPr>
        <w:numPr>
          <w:ilvl w:val="0"/>
          <w:numId w:val="2"/>
        </w:numPr>
      </w:pPr>
      <w:r w:rsidRPr="002A4BE5">
        <w:rPr>
          <w:b/>
          <w:bCs/>
        </w:rPr>
        <w:t>Step 2: API Request Orchestration</w:t>
      </w:r>
      <w:r w:rsidRPr="002A4BE5">
        <w:t xml:space="preserve"> The frontend transmits the data (via multipart/form-data) to the backend API layer. The backend validates the request and prepares the environment for project instantiation.</w:t>
      </w:r>
    </w:p>
    <w:p w:rsidR="002A4BE5" w:rsidRPr="002A4BE5" w:rsidRDefault="002A4BE5" w:rsidP="002A4BE5">
      <w:pPr>
        <w:numPr>
          <w:ilvl w:val="0"/>
          <w:numId w:val="2"/>
        </w:numPr>
      </w:pPr>
      <w:r w:rsidRPr="002A4BE5">
        <w:rPr>
          <w:b/>
          <w:bCs/>
        </w:rPr>
        <w:t>Step 3: Persistence and Decoupling</w:t>
      </w:r>
      <w:r w:rsidRPr="002A4BE5">
        <w:t xml:space="preserve"> The backend orchestrates the dual-persistence strategy: saving the raw CAD file to a secure S3 bucket and writing project metadata to AWS RDS. To prevent blocking the user session, the backend pushes a job manifest to the </w:t>
      </w:r>
      <w:proofErr w:type="spellStart"/>
      <w:r w:rsidRPr="002A4BE5">
        <w:t>Redis</w:t>
      </w:r>
      <w:proofErr w:type="spellEnd"/>
      <w:r w:rsidRPr="002A4BE5">
        <w:t xml:space="preserve"> queue.</w:t>
      </w:r>
    </w:p>
    <w:p w:rsidR="002A4BE5" w:rsidRPr="002A4BE5" w:rsidRDefault="002A4BE5" w:rsidP="002A4BE5">
      <w:pPr>
        <w:numPr>
          <w:ilvl w:val="0"/>
          <w:numId w:val="2"/>
        </w:numPr>
      </w:pPr>
      <w:r w:rsidRPr="002A4BE5">
        <w:rPr>
          <w:b/>
          <w:bCs/>
        </w:rPr>
        <w:t>Step 4: Asynchronous Processing Management</w:t>
      </w:r>
      <w:r w:rsidRPr="002A4BE5">
        <w:t xml:space="preserve"> </w:t>
      </w:r>
      <w:proofErr w:type="gramStart"/>
      <w:r w:rsidRPr="002A4BE5">
        <w:t>The</w:t>
      </w:r>
      <w:proofErr w:type="gramEnd"/>
      <w:r w:rsidRPr="002A4BE5">
        <w:t xml:space="preserve"> </w:t>
      </w:r>
      <w:proofErr w:type="spellStart"/>
      <w:r w:rsidRPr="002A4BE5">
        <w:t>Redis</w:t>
      </w:r>
      <w:proofErr w:type="spellEnd"/>
      <w:r w:rsidRPr="002A4BE5">
        <w:t xml:space="preserve"> queue manages the compute-intensive asynchronous workload. This prevents the API from timing out or becoming unresponsive during heavy processing tasks, ensuring the user can remain active in the interface.</w:t>
      </w:r>
    </w:p>
    <w:p w:rsidR="002A4BE5" w:rsidRPr="002A4BE5" w:rsidRDefault="002A4BE5" w:rsidP="002A4BE5">
      <w:pPr>
        <w:numPr>
          <w:ilvl w:val="0"/>
          <w:numId w:val="2"/>
        </w:numPr>
      </w:pPr>
      <w:r w:rsidRPr="002A4BE5">
        <w:rPr>
          <w:b/>
          <w:bCs/>
        </w:rPr>
        <w:t>Step 5: Engine Execution</w:t>
      </w:r>
      <w:r w:rsidRPr="002A4BE5">
        <w:t xml:space="preserve"> A Python-based Worker, running in a Docker container, pulls the task from </w:t>
      </w:r>
      <w:proofErr w:type="spellStart"/>
      <w:r w:rsidRPr="002A4BE5">
        <w:t>Redis</w:t>
      </w:r>
      <w:proofErr w:type="spellEnd"/>
      <w:r w:rsidRPr="002A4BE5">
        <w:t>. This worker instantiates the proprietary engine to perform CAD interpretation and model generation.</w:t>
      </w:r>
    </w:p>
    <w:p w:rsidR="002A4BE5" w:rsidRPr="002A4BE5" w:rsidRDefault="002A4BE5" w:rsidP="002A4BE5">
      <w:pPr>
        <w:numPr>
          <w:ilvl w:val="0"/>
          <w:numId w:val="2"/>
        </w:numPr>
      </w:pPr>
      <w:r w:rsidRPr="002A4BE5">
        <w:rPr>
          <w:b/>
          <w:bCs/>
        </w:rPr>
        <w:t xml:space="preserve">Step 6: Output </w:t>
      </w:r>
      <w:proofErr w:type="spellStart"/>
      <w:r w:rsidRPr="002A4BE5">
        <w:rPr>
          <w:b/>
          <w:bCs/>
        </w:rPr>
        <w:t>Artifact</w:t>
      </w:r>
      <w:proofErr w:type="spellEnd"/>
      <w:r w:rsidRPr="002A4BE5">
        <w:rPr>
          <w:b/>
          <w:bCs/>
        </w:rPr>
        <w:t xml:space="preserve"> Finalization</w:t>
      </w:r>
      <w:r w:rsidRPr="002A4BE5">
        <w:t xml:space="preserve"> Upon completion, the engine generates standardized .</w:t>
      </w:r>
      <w:proofErr w:type="spellStart"/>
      <w:r w:rsidRPr="002A4BE5">
        <w:t>gltf</w:t>
      </w:r>
      <w:proofErr w:type="spellEnd"/>
      <w:r w:rsidRPr="002A4BE5">
        <w:t xml:space="preserve"> 3D models and .</w:t>
      </w:r>
      <w:proofErr w:type="spellStart"/>
      <w:r w:rsidRPr="002A4BE5">
        <w:t>json</w:t>
      </w:r>
      <w:proofErr w:type="spellEnd"/>
      <w:r w:rsidRPr="002A4BE5">
        <w:t xml:space="preserve"> layout files. These </w:t>
      </w:r>
      <w:proofErr w:type="spellStart"/>
      <w:r w:rsidRPr="002A4BE5">
        <w:t>artifacts</w:t>
      </w:r>
      <w:proofErr w:type="spellEnd"/>
      <w:r w:rsidRPr="002A4BE5">
        <w:t xml:space="preserve"> are persisted back to S3, acting as the finalized state of the processing pipeline.</w:t>
      </w:r>
    </w:p>
    <w:p w:rsidR="002A4BE5" w:rsidRPr="002A4BE5" w:rsidRDefault="002A4BE5" w:rsidP="002A4BE5">
      <w:pPr>
        <w:numPr>
          <w:ilvl w:val="0"/>
          <w:numId w:val="2"/>
        </w:numPr>
      </w:pPr>
      <w:r w:rsidRPr="002A4BE5">
        <w:rPr>
          <w:b/>
          <w:bCs/>
        </w:rPr>
        <w:t>Step 7: Client-Side Interaction &amp; Real-Time Editing</w:t>
      </w:r>
      <w:r w:rsidRPr="002A4BE5">
        <w:t xml:space="preserve"> The frontend fetches the generated assets from S3. The Viewer renders the 3D layout with auto-placed furniture. Users can then perform real-time adjustments, such as moving furniture (e.g., a sofa), modifying material </w:t>
      </w:r>
      <w:proofErr w:type="spellStart"/>
      <w:r w:rsidRPr="002A4BE5">
        <w:t>colors</w:t>
      </w:r>
      <w:proofErr w:type="spellEnd"/>
      <w:r w:rsidRPr="002A4BE5">
        <w:t>, and adjusting scene lighting.</w:t>
      </w:r>
    </w:p>
    <w:p w:rsidR="002A4BE5" w:rsidRPr="002A4BE5" w:rsidRDefault="002A4BE5" w:rsidP="002A4BE5">
      <w:pPr>
        <w:rPr>
          <w:b/>
          <w:bCs/>
        </w:rPr>
      </w:pPr>
      <w:r w:rsidRPr="002A4BE5">
        <w:rPr>
          <w:b/>
          <w:bCs/>
        </w:rPr>
        <w:t>4. The Python Worker: Core Intellectual Property</w:t>
      </w:r>
    </w:p>
    <w:p w:rsidR="002A4BE5" w:rsidRPr="002A4BE5" w:rsidRDefault="002A4BE5" w:rsidP="002A4BE5">
      <w:r w:rsidRPr="002A4BE5">
        <w:t>The Python Engine, encapsulated within Docker containers, represents the core Intellectual Property (IP) of Plan2Render. It is specifically optimized for architectural data interpretation.</w:t>
      </w:r>
    </w:p>
    <w:p w:rsidR="002A4BE5" w:rsidRPr="002A4BE5" w:rsidRDefault="002A4BE5" w:rsidP="002A4BE5">
      <w:r w:rsidRPr="002A4BE5">
        <w:t>Specific capabilities of this component include:</w:t>
      </w:r>
    </w:p>
    <w:p w:rsidR="002A4BE5" w:rsidRPr="002A4BE5" w:rsidRDefault="002A4BE5" w:rsidP="002A4BE5">
      <w:pPr>
        <w:numPr>
          <w:ilvl w:val="0"/>
          <w:numId w:val="3"/>
        </w:numPr>
      </w:pPr>
      <w:r w:rsidRPr="002A4BE5">
        <w:rPr>
          <w:b/>
          <w:bCs/>
        </w:rPr>
        <w:t>High-Fidelity CAD Parsing:</w:t>
      </w:r>
      <w:r w:rsidRPr="002A4BE5">
        <w:t xml:space="preserve"> Deep interpretation of architectural vector data.</w:t>
      </w:r>
    </w:p>
    <w:p w:rsidR="002A4BE5" w:rsidRPr="002A4BE5" w:rsidRDefault="002A4BE5" w:rsidP="002A4BE5">
      <w:pPr>
        <w:numPr>
          <w:ilvl w:val="0"/>
          <w:numId w:val="3"/>
        </w:numPr>
      </w:pPr>
      <w:r w:rsidRPr="002A4BE5">
        <w:rPr>
          <w:b/>
          <w:bCs/>
        </w:rPr>
        <w:t>Wall Detection:</w:t>
      </w:r>
      <w:r w:rsidRPr="002A4BE5">
        <w:t xml:space="preserve"> Algorithmic identification of structural boundaries.</w:t>
      </w:r>
    </w:p>
    <w:p w:rsidR="002A4BE5" w:rsidRPr="002A4BE5" w:rsidRDefault="002A4BE5" w:rsidP="002A4BE5">
      <w:pPr>
        <w:numPr>
          <w:ilvl w:val="0"/>
          <w:numId w:val="3"/>
        </w:numPr>
      </w:pPr>
      <w:r w:rsidRPr="002A4BE5">
        <w:rPr>
          <w:b/>
          <w:bCs/>
        </w:rPr>
        <w:t>Door and Window Detection:</w:t>
      </w:r>
      <w:r w:rsidRPr="002A4BE5">
        <w:t xml:space="preserve"> Specialized logic for identifying openings and structural voids.</w:t>
      </w:r>
    </w:p>
    <w:p w:rsidR="002A4BE5" w:rsidRPr="002A4BE5" w:rsidRDefault="002A4BE5" w:rsidP="002A4BE5">
      <w:pPr>
        <w:numPr>
          <w:ilvl w:val="0"/>
          <w:numId w:val="3"/>
        </w:numPr>
      </w:pPr>
      <w:r w:rsidRPr="002A4BE5">
        <w:rPr>
          <w:b/>
          <w:bCs/>
        </w:rPr>
        <w:t>Automated Furniture Layout:</w:t>
      </w:r>
      <w:r w:rsidRPr="002A4BE5">
        <w:t xml:space="preserve"> Context-aware placement logic that arranges furniture based on detected structural constraints.</w:t>
      </w:r>
    </w:p>
    <w:p w:rsidR="002A4BE5" w:rsidRPr="002A4BE5" w:rsidRDefault="002A4BE5" w:rsidP="002A4BE5">
      <w:pPr>
        <w:rPr>
          <w:b/>
          <w:bCs/>
        </w:rPr>
      </w:pPr>
      <w:r w:rsidRPr="002A4BE5">
        <w:rPr>
          <w:b/>
          <w:bCs/>
        </w:rPr>
        <w:t>5. Architectural Separation: Processing vs. Editing</w:t>
      </w:r>
    </w:p>
    <w:p w:rsidR="002A4BE5" w:rsidRPr="002A4BE5" w:rsidRDefault="002A4BE5" w:rsidP="002A4BE5">
      <w:r w:rsidRPr="002A4BE5">
        <w:rPr>
          <w:b/>
          <w:bCs/>
        </w:rPr>
        <w:t>Critical Insight:</w:t>
      </w:r>
      <w:r w:rsidRPr="002A4BE5">
        <w:t xml:space="preserve"> To ensure system stability and a fluid user experience, the architecture is strictly bifurcated into two independent pipelines. This separation prevents resource starvation and thread contention during peak loads.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3775"/>
        <w:gridCol w:w="3916"/>
      </w:tblGrid>
      <w:tr w:rsidR="002A4BE5" w:rsidRPr="002A4BE5" w:rsidTr="002A4BE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lastRenderedPageBreak/>
              <w:t>Feature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Processing Pipeline (Heavy)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Editing Pipeline (Real-time)</w:t>
            </w:r>
          </w:p>
        </w:tc>
      </w:tr>
      <w:tr w:rsidR="002A4BE5" w:rsidRPr="002A4BE5" w:rsidTr="002A4BE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rPr>
                <w:b/>
                <w:bCs/>
              </w:rPr>
              <w:t>Primary Task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CAD parsing, structural detection, and model generation.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High-frequency state updates and interactive UI feedback.</w:t>
            </w:r>
          </w:p>
        </w:tc>
      </w:tr>
      <w:tr w:rsidR="002A4BE5" w:rsidRPr="002A4BE5" w:rsidTr="002A4BE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rPr>
                <w:b/>
                <w:bCs/>
              </w:rPr>
              <w:t>Resource Profile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High CPU/RAM utilization; long-running execution.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Low-latency; high-frequency DOM manipulation.</w:t>
            </w:r>
          </w:p>
        </w:tc>
      </w:tr>
      <w:tr w:rsidR="002A4BE5" w:rsidRPr="002A4BE5" w:rsidTr="002A4BE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rPr>
                <w:b/>
                <w:bCs/>
              </w:rPr>
              <w:t>Core Functions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>Logic-heavy Python Engine.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A4BE5" w:rsidRPr="002A4BE5" w:rsidRDefault="002A4BE5" w:rsidP="002A4BE5">
            <w:r w:rsidRPr="002A4BE5">
              <w:t xml:space="preserve">User actions: move sofa, change </w:t>
            </w:r>
            <w:proofErr w:type="spellStart"/>
            <w:r w:rsidRPr="002A4BE5">
              <w:t>colors</w:t>
            </w:r>
            <w:proofErr w:type="spellEnd"/>
            <w:r w:rsidRPr="002A4BE5">
              <w:t>, adjust lighting.</w:t>
            </w:r>
          </w:p>
        </w:tc>
      </w:tr>
    </w:tbl>
    <w:p w:rsidR="002A4BE5" w:rsidRPr="002A4BE5" w:rsidRDefault="002A4BE5" w:rsidP="002A4BE5">
      <w:r w:rsidRPr="002A4BE5">
        <w:rPr>
          <w:b/>
          <w:bCs/>
        </w:rPr>
        <w:t>Technical Justification:</w:t>
      </w:r>
      <w:r w:rsidRPr="002A4BE5">
        <w:t xml:space="preserve"> Mixing these pipelines would result in the "Heavy" processing tasks consuming the CPU cycles required for the "Real-time" editor. By isolating them, we ensure that while a large CAD file is being parsed in the background, the user’s interactive experience remains lag-free and responsive.</w:t>
      </w:r>
    </w:p>
    <w:p w:rsidR="002A4BE5" w:rsidRPr="002A4BE5" w:rsidRDefault="002A4BE5" w:rsidP="002A4BE5">
      <w:pPr>
        <w:rPr>
          <w:b/>
          <w:bCs/>
        </w:rPr>
      </w:pPr>
      <w:r w:rsidRPr="002A4BE5">
        <w:rPr>
          <w:b/>
          <w:bCs/>
        </w:rPr>
        <w:t>6. Data Management and Storage Schema</w:t>
      </w:r>
    </w:p>
    <w:p w:rsidR="002A4BE5" w:rsidRPr="002A4BE5" w:rsidRDefault="002A4BE5" w:rsidP="002A4BE5">
      <w:r w:rsidRPr="002A4BE5">
        <w:t>Our data strategy utilizes tiered storage to maintain a clean separation between relational metadata and high-volume binary assets.</w:t>
      </w:r>
    </w:p>
    <w:p w:rsidR="002A4BE5" w:rsidRPr="002A4BE5" w:rsidRDefault="002A4BE5" w:rsidP="002A4BE5">
      <w:pPr>
        <w:numPr>
          <w:ilvl w:val="0"/>
          <w:numId w:val="4"/>
        </w:numPr>
      </w:pPr>
      <w:r w:rsidRPr="002A4BE5">
        <w:rPr>
          <w:b/>
          <w:bCs/>
        </w:rPr>
        <w:t>Relational Data (AWS RDS):</w:t>
      </w:r>
      <w:r w:rsidRPr="002A4BE5">
        <w:t xml:space="preserve"> PostgreSQL manages all structured project data, including user permissions, project timestamps, and metadata links to object storage.</w:t>
      </w:r>
    </w:p>
    <w:p w:rsidR="002A4BE5" w:rsidRPr="002A4BE5" w:rsidRDefault="002A4BE5" w:rsidP="002A4BE5">
      <w:pPr>
        <w:numPr>
          <w:ilvl w:val="0"/>
          <w:numId w:val="4"/>
        </w:numPr>
      </w:pPr>
      <w:r w:rsidRPr="002A4BE5">
        <w:rPr>
          <w:b/>
          <w:bCs/>
        </w:rPr>
        <w:t>Object Storage (AWS S3):</w:t>
      </w:r>
      <w:r w:rsidRPr="002A4BE5">
        <w:t xml:space="preserve"> Acts as the Single Source of Truth for all binary assets, ensuring durability and high availability for:</w:t>
      </w:r>
    </w:p>
    <w:p w:rsidR="002A4BE5" w:rsidRPr="002A4BE5" w:rsidRDefault="002A4BE5" w:rsidP="002A4BE5">
      <w:pPr>
        <w:numPr>
          <w:ilvl w:val="1"/>
          <w:numId w:val="4"/>
        </w:numPr>
      </w:pPr>
      <w:r w:rsidRPr="002A4BE5">
        <w:t>Input CAD source files.</w:t>
      </w:r>
    </w:p>
    <w:p w:rsidR="002A4BE5" w:rsidRPr="002A4BE5" w:rsidRDefault="002A4BE5" w:rsidP="002A4BE5">
      <w:pPr>
        <w:numPr>
          <w:ilvl w:val="1"/>
          <w:numId w:val="4"/>
        </w:numPr>
      </w:pPr>
      <w:r w:rsidRPr="002A4BE5">
        <w:t>Output 3D models (.</w:t>
      </w:r>
      <w:proofErr w:type="spellStart"/>
      <w:r w:rsidRPr="002A4BE5">
        <w:t>gltf</w:t>
      </w:r>
      <w:proofErr w:type="spellEnd"/>
      <w:r w:rsidRPr="002A4BE5">
        <w:t>).</w:t>
      </w:r>
    </w:p>
    <w:p w:rsidR="002A4BE5" w:rsidRPr="002A4BE5" w:rsidRDefault="002A4BE5" w:rsidP="002A4BE5">
      <w:pPr>
        <w:numPr>
          <w:ilvl w:val="1"/>
          <w:numId w:val="4"/>
        </w:numPr>
      </w:pPr>
      <w:r w:rsidRPr="002A4BE5">
        <w:t>Rendered scene images.</w:t>
      </w:r>
    </w:p>
    <w:p w:rsidR="002A4BE5" w:rsidRPr="002A4BE5" w:rsidRDefault="002A4BE5" w:rsidP="002A4BE5">
      <w:pPr>
        <w:numPr>
          <w:ilvl w:val="1"/>
          <w:numId w:val="4"/>
        </w:numPr>
      </w:pPr>
      <w:r w:rsidRPr="002A4BE5">
        <w:t>Editable layout state files (.</w:t>
      </w:r>
      <w:proofErr w:type="spellStart"/>
      <w:r w:rsidRPr="002A4BE5">
        <w:t>json</w:t>
      </w:r>
      <w:proofErr w:type="spellEnd"/>
      <w:r w:rsidRPr="002A4BE5">
        <w:t>).</w:t>
      </w:r>
    </w:p>
    <w:p w:rsidR="002A4BE5" w:rsidRPr="002A4BE5" w:rsidRDefault="002A4BE5" w:rsidP="002A4BE5">
      <w:pPr>
        <w:numPr>
          <w:ilvl w:val="0"/>
          <w:numId w:val="4"/>
        </w:numPr>
      </w:pPr>
      <w:r w:rsidRPr="002A4BE5">
        <w:rPr>
          <w:b/>
          <w:bCs/>
        </w:rPr>
        <w:t>State Management:</w:t>
      </w:r>
      <w:r w:rsidRPr="002A4BE5">
        <w:t xml:space="preserve"> The final project state is captured by persisting layout JSONs to S3. The system generates shareable, pre-signed URLs to these JSON states to facilitate collaboration without exposing the underlying storage buckets.</w:t>
      </w:r>
    </w:p>
    <w:p w:rsidR="002A4BE5" w:rsidRPr="002A4BE5" w:rsidRDefault="002A4BE5" w:rsidP="002A4BE5">
      <w:pPr>
        <w:rPr>
          <w:b/>
          <w:bCs/>
        </w:rPr>
      </w:pPr>
      <w:r w:rsidRPr="002A4BE5">
        <w:rPr>
          <w:b/>
          <w:bCs/>
        </w:rPr>
        <w:t>7. Conclusion</w:t>
      </w:r>
    </w:p>
    <w:p w:rsidR="002A4BE5" w:rsidRPr="002A4BE5" w:rsidRDefault="002A4BE5" w:rsidP="002A4BE5">
      <w:r w:rsidRPr="002A4BE5">
        <w:t>The AWS-based architecture for Plan2Render is designed to handle the rigorous computational demands of CAD processing while providing a seamless, high-performance editing environment. By leveraging AWS RDS for structured persistence, S3 for binary object storage, and a containerized worker engine for core IP, we have built a stack that is both scalable and resilient.</w:t>
      </w:r>
    </w:p>
    <w:p w:rsidR="002A4BE5" w:rsidRPr="002A4BE5" w:rsidRDefault="002A4BE5" w:rsidP="002A4BE5">
      <w:r w:rsidRPr="002A4BE5">
        <w:rPr>
          <w:b/>
          <w:bCs/>
        </w:rPr>
        <w:t>The Plan2Render deployment stack is architecturally sound and fully prepared for production-grade deployment.</w:t>
      </w:r>
    </w:p>
    <w:p w:rsidR="00DC3A6A" w:rsidRDefault="00DC3A6A">
      <w:bookmarkStart w:id="0" w:name="_GoBack"/>
      <w:bookmarkEnd w:id="0"/>
    </w:p>
    <w:sectPr w:rsidR="00DC3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42D54"/>
    <w:multiLevelType w:val="multilevel"/>
    <w:tmpl w:val="3B32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5792D"/>
    <w:multiLevelType w:val="multilevel"/>
    <w:tmpl w:val="01A0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15A79"/>
    <w:multiLevelType w:val="multilevel"/>
    <w:tmpl w:val="504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01375"/>
    <w:multiLevelType w:val="multilevel"/>
    <w:tmpl w:val="22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BE5"/>
    <w:rsid w:val="002A4BE5"/>
    <w:rsid w:val="00DC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443B2F-96EE-4A3F-B052-30EC07F6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4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1036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GIRIDHARAN BALAKUMAR</dc:creator>
  <cp:keywords/>
  <dc:description/>
  <cp:lastModifiedBy>GIRIDHARAN BALAKUMAR</cp:lastModifiedBy>
  <cp:revision>1</cp:revision>
  <dcterms:created xsi:type="dcterms:W3CDTF">2026-04-21T09:54:00Z</dcterms:created>
  <dcterms:modified xsi:type="dcterms:W3CDTF">2026-04-21T09:56:00Z</dcterms:modified>
</cp:coreProperties>
</file>