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DB31C" w14:textId="77777777" w:rsidR="00561189" w:rsidRPr="00561189" w:rsidRDefault="00561189" w:rsidP="00561189">
      <w:r w:rsidRPr="00561189">
        <w:t xml:space="preserve">Das Projekt ist in seinem aktuellen Zustand bereits sehr ausgereift. Rey hat eine äusserst systematische Herangehensweise, besonders was die Performance-Optimierungen (koalesziertes Rendering) und die methodische Strenge (Nullmodell-Kalibrierung für Chart-Muster) angeht. </w:t>
      </w:r>
    </w:p>
    <w:p w14:paraId="3CCD1915" w14:textId="77777777" w:rsidR="00561189" w:rsidRPr="00561189" w:rsidRDefault="00561189" w:rsidP="00561189">
      <w:r w:rsidRPr="00561189">
        <w:t>Dennoch gibt es sowohl auf Basis der dokumentierten Roadmap als auch bei einem Blick unter die Haube noch klares Verbesserungspotenzial. Hier ist eine ehrliche Einschätzung der Bereiche, in denen die Web-App weiter optimiert werden kann:</w:t>
      </w:r>
    </w:p>
    <w:p w14:paraId="2348014A" w14:textId="77777777" w:rsidR="00561189" w:rsidRPr="00561189" w:rsidRDefault="00561189" w:rsidP="00561189">
      <w:pPr>
        <w:rPr>
          <w:b/>
          <w:bCs/>
        </w:rPr>
      </w:pPr>
      <w:r w:rsidRPr="00561189">
        <w:rPr>
          <w:b/>
          <w:bCs/>
        </w:rPr>
        <w:t>1. Offene Features &amp; Roadmap (Konzeptionell)</w:t>
      </w:r>
    </w:p>
    <w:p w14:paraId="1C663260" w14:textId="77777777" w:rsidR="00561189" w:rsidRPr="00561189" w:rsidRDefault="00561189" w:rsidP="00561189">
      <w:r w:rsidRPr="00561189">
        <w:t xml:space="preserve">Gemäss der Dokumentation im HANDOFF.md gibt es noch bewusste Lücken, die für ein vollständiges Trading-Cockpit geschlossen werden könnten: </w:t>
      </w:r>
    </w:p>
    <w:p w14:paraId="17A75316" w14:textId="77777777" w:rsidR="00561189" w:rsidRPr="00561189" w:rsidRDefault="00561189" w:rsidP="00561189">
      <w:pPr>
        <w:numPr>
          <w:ilvl w:val="0"/>
          <w:numId w:val="1"/>
        </w:numPr>
      </w:pPr>
      <w:r w:rsidRPr="00561189">
        <w:rPr>
          <w:b/>
          <w:bCs/>
        </w:rPr>
        <w:t>Fehlende Werkzeuge:</w:t>
      </w:r>
      <w:r w:rsidRPr="00561189">
        <w:t xml:space="preserve"> Der </w:t>
      </w:r>
      <w:r w:rsidRPr="00561189">
        <w:rPr>
          <w:i/>
          <w:iCs/>
        </w:rPr>
        <w:t>Anchored VWAP</w:t>
      </w:r>
      <w:r w:rsidRPr="00561189">
        <w:t xml:space="preserve"> ist bereits als Icon in der Drawbar angedacht, aber noch nicht implementiert. Auch ein Polylinien/Path-Werkzeug fehlt noch. </w:t>
      </w:r>
    </w:p>
    <w:p w14:paraId="092B2E0A" w14:textId="77777777" w:rsidR="00561189" w:rsidRPr="00561189" w:rsidRDefault="00561189" w:rsidP="00561189">
      <w:pPr>
        <w:numPr>
          <w:ilvl w:val="0"/>
          <w:numId w:val="1"/>
        </w:numPr>
      </w:pPr>
      <w:r w:rsidRPr="00561189">
        <w:rPr>
          <w:b/>
          <w:bCs/>
        </w:rPr>
        <w:t>Smart Money Concepts (SMC):</w:t>
      </w:r>
      <w:r w:rsidRPr="00561189">
        <w:t xml:space="preserve"> Imbalance/Fair Value Gaps (FVG) und Orderblocks sind auf der Roadmap notiert, aber noch nicht gebaut. </w:t>
      </w:r>
    </w:p>
    <w:p w14:paraId="5891EE34" w14:textId="77777777" w:rsidR="00561189" w:rsidRPr="00561189" w:rsidRDefault="00561189" w:rsidP="00561189">
      <w:pPr>
        <w:numPr>
          <w:ilvl w:val="0"/>
          <w:numId w:val="1"/>
        </w:numPr>
      </w:pPr>
      <w:r w:rsidRPr="00561189">
        <w:rPr>
          <w:b/>
          <w:bCs/>
        </w:rPr>
        <w:t>FRVP-Erweiterung:</w:t>
      </w:r>
      <w:r w:rsidRPr="00561189">
        <w:t xml:space="preserve"> Die Funktion "Extend Right" (Verlängerung nach rechts) fehlt beim Fixed Range Volume Profile noch. </w:t>
      </w:r>
    </w:p>
    <w:p w14:paraId="716C200C" w14:textId="77777777" w:rsidR="00561189" w:rsidRPr="00561189" w:rsidRDefault="00561189" w:rsidP="00561189">
      <w:pPr>
        <w:numPr>
          <w:ilvl w:val="0"/>
          <w:numId w:val="1"/>
        </w:numPr>
      </w:pPr>
      <w:r w:rsidRPr="00561189">
        <w:rPr>
          <w:b/>
          <w:bCs/>
        </w:rPr>
        <w:t>Datenquellen:</w:t>
      </w:r>
      <w:r w:rsidRPr="00561189">
        <w:t xml:space="preserve"> Für den </w:t>
      </w:r>
      <w:r w:rsidRPr="00561189">
        <w:rPr>
          <w:i/>
          <w:iCs/>
        </w:rPr>
        <w:t>Realised Price</w:t>
      </w:r>
      <w:r w:rsidRPr="00561189">
        <w:t xml:space="preserve"> wird noch ein spezifischer Worker-Endpoint (z.B. CoinMetrics) benötigt. </w:t>
      </w:r>
    </w:p>
    <w:p w14:paraId="5C16606C" w14:textId="77777777" w:rsidR="00561189" w:rsidRPr="00561189" w:rsidRDefault="00561189" w:rsidP="00561189">
      <w:pPr>
        <w:rPr>
          <w:b/>
          <w:bCs/>
        </w:rPr>
      </w:pPr>
      <w:r w:rsidRPr="00561189">
        <w:rPr>
          <w:b/>
          <w:bCs/>
        </w:rPr>
        <w:t>2. Architektur &amp; Code-Qualität (Technisch)</w:t>
      </w:r>
    </w:p>
    <w:p w14:paraId="617DF702" w14:textId="77777777" w:rsidR="00561189" w:rsidRPr="00561189" w:rsidRDefault="00561189" w:rsidP="00561189">
      <w:r w:rsidRPr="00561189">
        <w:t>Obwohl das Projekt ohne Build-Step auskommt und sehr performant läuft, gibt es ein paar architektonische "Anti-Patterns", die bei wachsender Komplexität fragil werden können:</w:t>
      </w:r>
    </w:p>
    <w:p w14:paraId="3879F785" w14:textId="77777777" w:rsidR="00561189" w:rsidRPr="00561189" w:rsidRDefault="00561189" w:rsidP="00561189">
      <w:pPr>
        <w:numPr>
          <w:ilvl w:val="0"/>
          <w:numId w:val="2"/>
        </w:numPr>
      </w:pPr>
      <w:r w:rsidRPr="00561189">
        <w:rPr>
          <w:b/>
          <w:bCs/>
        </w:rPr>
        <w:t>Globale Variablen (Window-Pollution):</w:t>
      </w:r>
      <w:r w:rsidRPr="00561189">
        <w:t xml:space="preserve"> Um Limitierungen von KLineCharts zu umgehen, nutzt die App globale Hooks wie window.__tvGetDataList, window.__tvCompareAssets oder window.__tvSizing als "Brücken" zwischen Modulen (z.B. von overlays.js zu app.js). Ein saubereres Dependency-Injection-Muster oder ein zentraler Event-Bus wäre hier robuster und sicherer. </w:t>
      </w:r>
    </w:p>
    <w:p w14:paraId="3A198375" w14:textId="77777777" w:rsidR="00561189" w:rsidRPr="00561189" w:rsidRDefault="00561189" w:rsidP="00561189">
      <w:pPr>
        <w:numPr>
          <w:ilvl w:val="0"/>
          <w:numId w:val="2"/>
        </w:numPr>
      </w:pPr>
      <w:r w:rsidRPr="00561189">
        <w:rPr>
          <w:b/>
          <w:bCs/>
        </w:rPr>
        <w:t>Performance-Flaschenhals bei VRVP:</w:t>
      </w:r>
      <w:r w:rsidRPr="00561189">
        <w:t xml:space="preserve"> Die Canvas-Funktion computeVrvpMeta() berechnet das Volumenprofil komplett neu, indem sie durch alle Kerzen im sichtbaren Bereich iteriert – und das bei jedem durch requestAnimationFrame freigegebenen Scroll-Event. Bei sehr breitem Zoom (viele Kerzen) kann dies trotz Koaleszierung Mikroruckler verursachen. Ein Caching der Bins könnte hier helfen. </w:t>
      </w:r>
    </w:p>
    <w:p w14:paraId="7FD4E6AF" w14:textId="77777777" w:rsidR="00561189" w:rsidRPr="00561189" w:rsidRDefault="00561189" w:rsidP="00561189">
      <w:pPr>
        <w:numPr>
          <w:ilvl w:val="0"/>
          <w:numId w:val="2"/>
        </w:numPr>
      </w:pPr>
      <w:r w:rsidRPr="00561189">
        <w:rPr>
          <w:b/>
          <w:bCs/>
        </w:rPr>
        <w:t>"Magic Numbers" in Canvas-Offsets:</w:t>
      </w:r>
      <w:r w:rsidRPr="00561189">
        <w:t xml:space="preserve"> Bei den Custom-Canvas-Zeichnungen wird oft mit hartcodierten Pixelwerten gearbeitet (z.B. const rightGap = 96; beim VRVP). Wenn KLineCharts in einem Update seine internen Skalen-Margen ändert, werden diese Zeichnungen asynchron zum eigentlichen Chart stehen. </w:t>
      </w:r>
    </w:p>
    <w:p w14:paraId="25A2B6D8" w14:textId="77777777" w:rsidR="00561189" w:rsidRPr="00561189" w:rsidRDefault="00561189" w:rsidP="00561189">
      <w:pPr>
        <w:numPr>
          <w:ilvl w:val="0"/>
          <w:numId w:val="2"/>
        </w:numPr>
      </w:pPr>
      <w:r w:rsidRPr="00561189">
        <w:rPr>
          <w:b/>
          <w:bCs/>
        </w:rPr>
        <w:t>Gepatchte Engine:</w:t>
      </w:r>
      <w:r w:rsidRPr="00561189">
        <w:t xml:space="preserve"> KLineCharts wurde manuell lokal gepatcht, um das Zoom-Limit anzupassen (var St=0.2). Das bedeutet: Jedes zukünftige Update der Chart-Bibliothek erfordert ein erneutes manuelles Reverse-Engineering und Patchen des minifizierten Bundles. </w:t>
      </w:r>
    </w:p>
    <w:p w14:paraId="6E4D4C44" w14:textId="77777777" w:rsidR="00561189" w:rsidRPr="00561189" w:rsidRDefault="00561189" w:rsidP="00561189">
      <w:pPr>
        <w:rPr>
          <w:b/>
          <w:bCs/>
        </w:rPr>
      </w:pPr>
      <w:r w:rsidRPr="00561189">
        <w:rPr>
          <w:b/>
          <w:bCs/>
        </w:rPr>
        <w:t>3. Stabilität &amp; UX</w:t>
      </w:r>
    </w:p>
    <w:p w14:paraId="2673B7B4" w14:textId="77777777" w:rsidR="00561189" w:rsidRPr="00561189" w:rsidRDefault="00561189" w:rsidP="00561189">
      <w:pPr>
        <w:numPr>
          <w:ilvl w:val="0"/>
          <w:numId w:val="3"/>
        </w:numPr>
      </w:pPr>
      <w:r w:rsidRPr="00561189">
        <w:rPr>
          <w:b/>
          <w:bCs/>
        </w:rPr>
        <w:t>Abhängigkeit von Drittanbieter-APIs:</w:t>
      </w:r>
      <w:r w:rsidRPr="00561189">
        <w:t xml:space="preserve"> In derivatives.js werden Endpoints wie api.alternative.me oder Binance fapi direkt angezapft. Wenn diese ihr JSON-Format ändern </w:t>
      </w:r>
      <w:r w:rsidRPr="00561189">
        <w:lastRenderedPageBreak/>
        <w:t xml:space="preserve">oder striktere CORS-Regeln einführen, brechen Teile des Grid-Bots lautlos ab (obwohl dies teilweise durch Promise.allSettled abgefedert wird). </w:t>
      </w:r>
    </w:p>
    <w:p w14:paraId="405B368D" w14:textId="77777777" w:rsidR="00561189" w:rsidRPr="00561189" w:rsidRDefault="00561189" w:rsidP="00561189">
      <w:pPr>
        <w:numPr>
          <w:ilvl w:val="0"/>
          <w:numId w:val="3"/>
        </w:numPr>
      </w:pPr>
      <w:r w:rsidRPr="00561189">
        <w:rPr>
          <w:b/>
          <w:bCs/>
        </w:rPr>
        <w:t>Mobile UX:</w:t>
      </w:r>
      <w:r w:rsidRPr="00561189">
        <w:t xml:space="preserve"> Es gibt zwar einen rudimentären "Pinch-to-Zoom"-Fix in app.js, aber die stark menübasierte Benutzeroberfläche (Drawbar mit fixierten Fly-Outs, komplexe Rechtsklick-Menüs) ist ganz klar für Desktop und Maussteuerung konzipiert. Auf Tablets oder Handys dürfte die Bedienung der Overlays und Settings fummelig sein. </w:t>
      </w:r>
    </w:p>
    <w:p w14:paraId="08C6E067" w14:textId="77777777" w:rsidR="000D506F" w:rsidRDefault="000D506F"/>
    <w:sectPr w:rsidR="000D506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6163"/>
    <w:multiLevelType w:val="multilevel"/>
    <w:tmpl w:val="E27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680F36"/>
    <w:multiLevelType w:val="multilevel"/>
    <w:tmpl w:val="830E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9265F"/>
    <w:multiLevelType w:val="multilevel"/>
    <w:tmpl w:val="AE6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212603">
    <w:abstractNumId w:val="1"/>
  </w:num>
  <w:num w:numId="2" w16cid:durableId="759374625">
    <w:abstractNumId w:val="0"/>
  </w:num>
  <w:num w:numId="3" w16cid:durableId="286742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7B3"/>
    <w:rsid w:val="000D506F"/>
    <w:rsid w:val="00561189"/>
    <w:rsid w:val="006218AD"/>
    <w:rsid w:val="009A77B3"/>
    <w:rsid w:val="00BF2FE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58CF98-A9A5-4408-AAF4-DE81E4775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A77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9A77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9A77B3"/>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9A77B3"/>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A77B3"/>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9A77B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A77B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A77B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A77B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A77B3"/>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9A77B3"/>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9A77B3"/>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9A77B3"/>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9A77B3"/>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9A77B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A77B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A77B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A77B3"/>
    <w:rPr>
      <w:rFonts w:eastAsiaTheme="majorEastAsia" w:cstheme="majorBidi"/>
      <w:color w:val="272727" w:themeColor="text1" w:themeTint="D8"/>
    </w:rPr>
  </w:style>
  <w:style w:type="paragraph" w:styleId="Titel">
    <w:name w:val="Title"/>
    <w:basedOn w:val="Standard"/>
    <w:next w:val="Standard"/>
    <w:link w:val="TitelZchn"/>
    <w:uiPriority w:val="10"/>
    <w:qFormat/>
    <w:rsid w:val="009A7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A77B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A77B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A77B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A77B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A77B3"/>
    <w:rPr>
      <w:i/>
      <w:iCs/>
      <w:color w:val="404040" w:themeColor="text1" w:themeTint="BF"/>
    </w:rPr>
  </w:style>
  <w:style w:type="paragraph" w:styleId="Listenabsatz">
    <w:name w:val="List Paragraph"/>
    <w:basedOn w:val="Standard"/>
    <w:uiPriority w:val="34"/>
    <w:qFormat/>
    <w:rsid w:val="009A77B3"/>
    <w:pPr>
      <w:ind w:left="720"/>
      <w:contextualSpacing/>
    </w:pPr>
  </w:style>
  <w:style w:type="character" w:styleId="IntensiveHervorhebung">
    <w:name w:val="Intense Emphasis"/>
    <w:basedOn w:val="Absatz-Standardschriftart"/>
    <w:uiPriority w:val="21"/>
    <w:qFormat/>
    <w:rsid w:val="009A77B3"/>
    <w:rPr>
      <w:i/>
      <w:iCs/>
      <w:color w:val="2F5496" w:themeColor="accent1" w:themeShade="BF"/>
    </w:rPr>
  </w:style>
  <w:style w:type="paragraph" w:styleId="IntensivesZitat">
    <w:name w:val="Intense Quote"/>
    <w:basedOn w:val="Standard"/>
    <w:next w:val="Standard"/>
    <w:link w:val="IntensivesZitatZchn"/>
    <w:uiPriority w:val="30"/>
    <w:qFormat/>
    <w:rsid w:val="009A77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A77B3"/>
    <w:rPr>
      <w:i/>
      <w:iCs/>
      <w:color w:val="2F5496" w:themeColor="accent1" w:themeShade="BF"/>
    </w:rPr>
  </w:style>
  <w:style w:type="character" w:styleId="IntensiverVerweis">
    <w:name w:val="Intense Reference"/>
    <w:basedOn w:val="Absatz-Standardschriftart"/>
    <w:uiPriority w:val="32"/>
    <w:qFormat/>
    <w:rsid w:val="009A77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2920</Characters>
  <Application>Microsoft Office Word</Application>
  <DocSecurity>0</DocSecurity>
  <Lines>24</Lines>
  <Paragraphs>6</Paragraphs>
  <ScaleCrop>false</ScaleCrop>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Gafner Rey</dc:creator>
  <cp:keywords/>
  <dc:description/>
  <cp:lastModifiedBy>Gafner Rey</cp:lastModifiedBy>
  <cp:revision>2</cp:revision>
  <dcterms:created xsi:type="dcterms:W3CDTF">2026-07-21T19:42:00Z</dcterms:created>
  <dcterms:modified xsi:type="dcterms:W3CDTF">2026-07-21T19:42:00Z</dcterms:modified>
</cp:coreProperties>
</file>