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sz w:val="20"/>
          <w:szCs w:val="20"/>
          <w:rtl w:val="0"/>
        </w:rPr>
        <w:t xml:space="preserve">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soft 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sz w:val="20"/>
          <w:szCs w:val="20"/>
          <w:rtl w:val="0"/>
        </w:rPr>
        <w:t xml:space="preserve"> be moderately warm. Then,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the ground on its foot,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be 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slant</w:t>
      </w:r>
      <w:r w:rsidDel="00000000" w:rsidR="00000000" w:rsidRPr="00000000">
        <w:rPr>
          <w:sz w:val="20"/>
          <w:szCs w:val="20"/>
          <w:rtl w:val="0"/>
        </w:rPr>
        <w:t xml:space="preserve">; after,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away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closer up, it will show you the right way up but with </w:t>
      </w:r>
      <w:r w:rsidDel="00000000" w:rsidR="00000000" w:rsidRPr="00000000">
        <w:rPr>
          <w:sz w:val="20"/>
          <w:szCs w:val="2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quite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hairs of your beard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