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broyes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peignes en ce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frottes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une douzaine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 communes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gectes les en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lair Et les estaignes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verre de 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laisses froidir 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verses la moictie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dose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matrice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g</w:t>
      </w:r>
      <w:commentRangeStart w:id="1"/>
      <w:r w:rsidDel="00000000" w:rsidR="00000000" w:rsidRPr="00000000">
        <w:rPr>
          <w:color w:val="000000"/>
          <w:rtl w:val="0"/>
        </w:rPr>
        <w:t xml:space="preserve">&lt;exp&gt;o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ut&lt;/exp&gt;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demy lb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doree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</w:t>
      </w:r>
      <w:r w:rsidDel="00000000" w:rsidR="00000000" w:rsidRPr="00000000">
        <w:rPr>
          <w:color w:val="000000"/>
          <w:rtl w:val="0"/>
        </w:rPr>
        <w:t xml:space="preserve">subtillem&lt;exp&gt;ent&lt;/exp&gt;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once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lb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a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 Mays il fault que le pot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fumee nexhale poinct Apres distilles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tiedement sur la douleur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o&lt;exp&gt;mmun&lt;/exp&gt;is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iii. coquantur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 Tum refrigerata,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olentur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iniectionem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20:5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by the author?</w:t>
      </w:r>
    </w:p>
  </w:comment>
  <w:comment w:author="Pamela Smith" w:id="1" w:date="2016-10-31T14:53:1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Stolberg says this is not gonhorrea, but gout.  Gonhorrea is not a painful disease whereas gout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