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de nature fort sec,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plus souvent le battent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nuict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frescheur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rays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Ce qui ne se pourroict faire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qui est plus humide,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rayons du soleil par dessus, et gueres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soleil ne soit vers le midy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couppé, il fault labourer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car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amaigrist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estoit en pied.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terre où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aura este semé diminue bien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fertilité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ce qui se coignoist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prochaine semence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qu'on faict aprés. Mays surtout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faict,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commun, trembler la terre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aprés.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amendent le solage, pourveu qu'on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pourrir 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tyges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Aulcuns aprés avoyr couché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plat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ont communement quattre livres. Le tyrant,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formulayre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par lequel ilz peuvent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 vendre. Le second est le broillart, où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qu'ilz vendent journellem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tiers est le livre de vente,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contenu au broillart. Le quatriesme est le livre de raisons,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faict mention de la vente, du compte arresté,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terme du payement,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cestuy cy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adjouxté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c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