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 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pied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mail,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muraille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L'aultre s'appelle la batte,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muraille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muraille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6T14:54:4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