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annon fires at point blank from five to six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not for battering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which it can only perform well from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two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three hundred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most, and it should not be any farther. Its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shot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usually weighs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&lt;ms&gt;&lt;pro&gt;&lt;pn&gt;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caliber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There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cannon-perrier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weighs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are small, short cannons. It is for fighting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ditch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casemates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battering at close range. It bears large shot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&lt;ms&gt;&lt;pro&gt;&lt;pn&gt;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caliber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like the others, namely of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bears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breech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width of two balls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quarter of a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front only bears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width of one ball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third of a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Its charge is similar to those of bigger ones, namely xx. And for this reason, when one wants to try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ought not to over-charge it, for this damages the piece. And for the first time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has fired five or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shots, it is better not to give its complete charge, for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is </w:t>
      </w:r>
      <w:r w:rsidDel="00000000" w:rsidR="00000000" w:rsidRPr="00000000">
        <w:rPr>
          <w:rtl w:val="0"/>
        </w:rPr>
        <w:t xml:space="preserve">still proving itself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 test that one can do is to give it a charge of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arquebus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ordinary cannon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four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sufficient to </w:t>
      </w:r>
      <w:r w:rsidDel="00000000" w:rsidR="00000000" w:rsidRPr="00000000">
        <w:rPr>
          <w:rtl w:val="0"/>
        </w:rPr>
        <w:t xml:space="preserve">drag them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They are easy,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close up they have as much force as the big ones, especially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private 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towns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fortresses of little importance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They are no more subject to bursting than the others because they are short. For that which gives great strength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danger of bursting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at the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is the length of the piece,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burned entirely before exiting,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impetuosity is held constrained for longer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 piece than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short one. The cannon-perrier is usually seven to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long. It is true that this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&lt;ms&gt;&lt;pro&gt;&lt;pn&gt;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not used in the founding of guns for making them good.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shorter, the cannons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proportioned there are shorter also,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compensate in thickness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length that they would have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&lt;ms&gt;&lt;pro&gt;&lt;pn&gt;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by which measure they will be found longer. But also they would be thinner.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great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strength of the cannon</w:t>
      </w:r>
      <w:r w:rsidDel="00000000" w:rsidR="00000000" w:rsidRPr="00000000">
        <w:rPr>
          <w:rtl w:val="0"/>
        </w:rPr>
        <w:t xml:space="preserve">-p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errier for making a </w:t>
      </w:r>
      <w:r w:rsidDel="00000000" w:rsidR="00000000" w:rsidRPr="00000000">
        <w:rPr>
          <w:rtl w:val="0"/>
        </w:rPr>
        <w:t xml:space="preserve">battery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cannon, because of the weight of its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shot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carries a range of only a thousand or xii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landing,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bouncing, usually it bounces iii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cannon-perrier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have a large effect if not close.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recognizes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good alloy of a piece by seeing it. For if, with the greenness which they expel on the surface, they redden, that is to say that they are composed of a sufficient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If not, they are only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shows up whitish. If they themselves do not make this demonstration, scratch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will see.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good alloy for pieces is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three parts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from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big bell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where there is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of small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usually costs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xv or xvi.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equivalent to six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&lt;ms&gt;&lt;df&gt;&lt;pro&gt;&lt;pn&gt;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contains in it two common.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necessary,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mounting a piece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it be as high at the side of the mouth as at the breech. Otherwise, one does not mount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