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tempering for breastplates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&amp;amp;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&amp;amp;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&amp;amp;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seed of it &amp;amp;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&amp;amp;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uid or any other vessel, then throw into it two 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ecks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take a big cauldron full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&amp;amp; h</w:t>
      </w:r>
      <w:r w:rsidDel="00000000" w:rsidR="00000000" w:rsidRPr="00000000">
        <w:rPr>
          <w:color w:val="000000"/>
          <w:rtl w:val="0"/>
        </w:rPr>
        <w:t xml:space="preserve">eat it up slightly more than warm. &amp;amp; Take three or four times the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greasy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three or four double handfuls</w:t>
      </w:r>
      <w:r w:rsidDel="00000000" w:rsidR="00000000" w:rsidRPr="00000000">
        <w:rPr>
          <w:color w:val="000000"/>
          <w:rtl w:val="0"/>
        </w:rPr>
        <w:t xml:space="preserve">, wet it &amp;amp; throw it into the cauldron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&amp;amp;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&amp;amp; 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&amp;amp; throw it into the caldron &amp;amp; leave it for two or three days. Then throw it after into the said muid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temper</w:t>
      </w:r>
      <w:r w:rsidDel="00000000" w:rsidR="00000000" w:rsidRPr="00000000">
        <w:rPr>
          <w:rtl w:val="0"/>
        </w:rPr>
        <w:t xml:space="preserve">ing liqui</w:t>
      </w:r>
      <w:commentRangeStart w:id="4"/>
      <w:r w:rsidDel="00000000" w:rsidR="00000000" w:rsidRPr="00000000">
        <w:rPr>
          <w:rtl w:val="0"/>
        </w:rPr>
        <w:t xml:space="preserve">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4" w:date="2018-07-04T15:24:35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 for this in metallurgy? Ask Pascal Brioist and Jonathan Tavares</w:t>
      </w:r>
    </w:p>
  </w:comment>
  <w:comment w:author="Élisée Dion" w:id="3" w:date="2014-06-17T16:17:41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Picotin: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"a (French) Pecke, or, the fourth part of a Boisseau", Cotgrave;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"petit panier servant à mettre la ration d'avoine d'un cheval", et, par analogie, "bonne quantité de quelque chose" (avoir un picotin de qqc); DMF.</w:t>
      </w:r>
    </w:p>
  </w:comment>
  <w:comment w:author="Marc Smith" w:id="0" w:date="2014-06-18T19:30:49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  <w:comment w:author="General Editor" w:id="1" w:date="2014-05-14T20:02:58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vessel</w:t>
      </w:r>
    </w:p>
  </w:comment>
  <w:comment w:author="Élisée Dion" w:id="2" w:date="2014-06-17T16:18:0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Muid: "Mesure de capacité pour les liquides et, plus souvent, les matières sèches (de valeur variable selon les marchandises et les régions)"; DMF. Désigne par métonymie le contenant d'un muid.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