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à seicher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est plus net. Et pource qu'il seroit trop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à broyer, il le fault faire rougir au feu,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</w:t>
      </w:r>
      <w:r w:rsidDel="00000000" w:rsidR="00000000" w:rsidRPr="00000000">
        <w:rPr>
          <w:color w:val="000000"/>
          <w:rtl w:val="0"/>
        </w:rPr>
        <w:t xml:space="preserve">esmie</w:t>
      </w:r>
      <w:r w:rsidDel="00000000" w:rsidR="00000000" w:rsidRPr="00000000">
        <w:rPr>
          <w:rtl w:val="0"/>
        </w:rPr>
        <w:t xml:space="preserve">tter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aysem&lt;exp&gt;ent&lt;/exp&gt; pour aprés le broyer.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broyé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mays pour cela il n'ha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qu'il seroit bon pour le gect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lame de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 </w:t>
      </w:r>
      <w:r w:rsidDel="00000000" w:rsidR="00000000" w:rsidRPr="00000000">
        <w:rPr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faisant bouilhir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d'or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s'il est bruny.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haulte,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promptem&lt;exp&gt;ent&lt;/exp&gt; obscure.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monstrera grené comme si s'estoit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semée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de soy mesme est blaffart et palle, mays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 est plus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aprés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tableau qui se prep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graisse.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les couleurs ramassées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l'on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desiccative et espargne des couleurs.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l'unir. Aprés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meslées. En un tableau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qu'une impression, et la </w:t>
      </w: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aussy qu'on ha broyé une couleur,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