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these, put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painted after nature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please,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will represent the scales. And next, cover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put to use,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