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&lt;/fr&gt;&lt;comment&gt;c_075v_02&lt;/comment&gt;&lt;/ms&gt;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