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espée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ribeure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aprés est le talon, le reste est le bame. Les costés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poincte. Aulcunes lames sont à vive areste,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eslevée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long, et sont aisées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lames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à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monteures,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co&lt;exp&gt;mm&lt;/exp&gt;e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une vive areste aplatie,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asseurées. Les autres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canellees,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du long,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aisées à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fourbir à cause que la fustée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peult pas entrer.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exprés, qui est estroicte.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est le pommeau,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pontet,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garde. Les aneaulx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 jusques à la branche du pontet.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le corps,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entre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poignée,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propres,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dure. Il la chaufent legerement,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grippe,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il,</w:t>
      </w:r>
      <w:r w:rsidDel="00000000" w:rsidR="00000000" w:rsidRPr="00000000">
        <w:rPr>
          <w:color w:val="000000"/>
          <w:rtl w:val="0"/>
        </w:rPr>
        <w:t xml:space="preserve"> aultrement,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defferoit, tout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incontinent.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cordon, qui se faict à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tournes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rouet,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deliée.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arrest,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poignée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les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poignées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peau de 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fil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durable. Aprés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commodité prés de la mer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bien comode.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4 ou cinq douzaines de poignées.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main sue. Pour la mectre en besoigne,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dure, on la faict tremper une heure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tiede,</w:t>
      </w:r>
      <w:r w:rsidDel="00000000" w:rsidR="00000000" w:rsidRPr="00000000">
        <w:rPr>
          <w:color w:val="000000"/>
          <w:rtl w:val="0"/>
        </w:rPr>
        <w:t xml:space="preserve"> car si elle estoit trop chaulde,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Elle se coust avecq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