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&lt;comment&gt;c_095v_02&lt;/comment&gt;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La piece d'ouvraige,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&lt;/add&gt;&lt;comment&gt;c_095v_01&lt;/comment&gt;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